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B035B" w14:textId="69CBBB6C" w:rsidR="00680547" w:rsidRPr="00136CE9" w:rsidRDefault="00680547" w:rsidP="0068054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136CE9">
        <w:rPr>
          <w:rFonts w:ascii="Arial" w:eastAsia="SimSun" w:hAnsi="Arial" w:cs="Times New Roman"/>
          <w:b/>
          <w:bCs/>
          <w:sz w:val="24"/>
          <w:szCs w:val="20"/>
        </w:rPr>
        <w:t>3GPP T</w:t>
      </w:r>
      <w:bookmarkStart w:id="2" w:name="_Ref452454252"/>
      <w:bookmarkEnd w:id="2"/>
      <w:r w:rsidRPr="00136CE9">
        <w:rPr>
          <w:rFonts w:ascii="Arial" w:eastAsia="SimSun" w:hAnsi="Arial" w:cs="Times New Roman"/>
          <w:b/>
          <w:bCs/>
          <w:sz w:val="24"/>
          <w:szCs w:val="20"/>
        </w:rPr>
        <w:t xml:space="preserve">SG-RAN </w:t>
      </w:r>
      <w:r w:rsidRPr="00136CE9">
        <w:rPr>
          <w:rFonts w:ascii="Arial" w:eastAsia="SimSun" w:hAnsi="Arial" w:cs="Times New Roman"/>
          <w:b/>
          <w:sz w:val="24"/>
          <w:szCs w:val="20"/>
        </w:rPr>
        <w:t>WG4 Meeting #116</w:t>
      </w:r>
      <w:r w:rsidRPr="00136CE9">
        <w:rPr>
          <w:rFonts w:ascii="Arial" w:eastAsia="SimSun" w:hAnsi="Arial" w:cs="Times New Roman"/>
          <w:b/>
          <w:bCs/>
          <w:sz w:val="24"/>
          <w:szCs w:val="20"/>
        </w:rPr>
        <w:tab/>
      </w:r>
      <w:r w:rsidRPr="00F42313">
        <w:rPr>
          <w:rFonts w:ascii="Arial" w:eastAsia="SimSun" w:hAnsi="Arial" w:cs="Times New Roman"/>
          <w:b/>
          <w:bCs/>
          <w:sz w:val="24"/>
          <w:szCs w:val="20"/>
          <w:lang w:eastAsia="ja-JP"/>
        </w:rPr>
        <w:t>R4-251127</w:t>
      </w:r>
      <w:r>
        <w:rPr>
          <w:rFonts w:ascii="Arial" w:eastAsia="SimSun" w:hAnsi="Arial" w:cs="Times New Roman"/>
          <w:b/>
          <w:bCs/>
          <w:sz w:val="24"/>
          <w:szCs w:val="20"/>
          <w:lang w:eastAsia="ja-JP"/>
        </w:rPr>
        <w:t>8</w:t>
      </w:r>
    </w:p>
    <w:bookmarkEnd w:id="0"/>
    <w:bookmarkEnd w:id="1"/>
    <w:p w14:paraId="012C6D3D" w14:textId="77777777" w:rsidR="00680547" w:rsidRPr="00B26A8A" w:rsidRDefault="00680547" w:rsidP="00680547">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136CE9">
        <w:rPr>
          <w:rFonts w:ascii="Arial" w:eastAsia="SimSun" w:hAnsi="Arial" w:cs="Times New Roman"/>
          <w:b/>
          <w:sz w:val="24"/>
          <w:szCs w:val="20"/>
        </w:rPr>
        <w:t>Bengaluru, India, August 25</w:t>
      </w:r>
      <w:r w:rsidRPr="00136CE9">
        <w:rPr>
          <w:rFonts w:ascii="Arial" w:eastAsia="SimSun" w:hAnsi="Arial" w:cs="Times New Roman"/>
          <w:b/>
          <w:sz w:val="24"/>
          <w:szCs w:val="20"/>
          <w:vertAlign w:val="superscript"/>
        </w:rPr>
        <w:t>th</w:t>
      </w:r>
      <w:r w:rsidRPr="00136CE9">
        <w:rPr>
          <w:rFonts w:ascii="Arial" w:eastAsia="SimSun" w:hAnsi="Arial" w:cs="Times New Roman"/>
          <w:b/>
          <w:sz w:val="24"/>
          <w:szCs w:val="20"/>
        </w:rPr>
        <w:t xml:space="preserve"> – August 29</w:t>
      </w:r>
      <w:r w:rsidRPr="00136CE9">
        <w:rPr>
          <w:rFonts w:ascii="Arial" w:eastAsia="SimSun" w:hAnsi="Arial" w:cs="Times New Roman"/>
          <w:b/>
          <w:sz w:val="24"/>
          <w:szCs w:val="20"/>
          <w:vertAlign w:val="superscript"/>
        </w:rPr>
        <w:t>th</w:t>
      </w:r>
      <w:r w:rsidRPr="00136CE9">
        <w:rPr>
          <w:rFonts w:ascii="Arial" w:eastAsia="SimSun" w:hAnsi="Arial" w:cs="Times New Roman"/>
          <w:b/>
          <w:sz w:val="24"/>
          <w:szCs w:val="20"/>
        </w:rPr>
        <w:t>, 2025</w:t>
      </w:r>
    </w:p>
    <w:p w14:paraId="72FFFB62"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15BC8D9"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9351C8E" w14:textId="7AC7F993"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ED01C8" w:rsidRPr="00ED01C8">
        <w:rPr>
          <w:rFonts w:ascii="Arial" w:eastAsia="Calibri" w:hAnsi="Arial" w:cs="Arial"/>
          <w:b/>
          <w:bCs/>
          <w:sz w:val="24"/>
        </w:rPr>
        <w:t>Impact of DL coverage enhancement on SMTC configuration and measurement requirements</w:t>
      </w:r>
    </w:p>
    <w:p w14:paraId="25952065" w14:textId="3A248AB8" w:rsidR="00841BCD" w:rsidRPr="002B6B92" w:rsidRDefault="00841BCD" w:rsidP="00841BCD">
      <w:pPr>
        <w:tabs>
          <w:tab w:val="left" w:pos="1985"/>
        </w:tabs>
        <w:spacing w:after="120" w:line="240" w:lineRule="auto"/>
        <w:rPr>
          <w:rFonts w:ascii="Arial" w:eastAsia="MS Mincho" w:hAnsi="Arial" w:cs="Arial"/>
          <w:b/>
          <w:bCs/>
          <w:sz w:val="24"/>
          <w:szCs w:val="20"/>
          <w:lang w:val="pt-BR"/>
        </w:rPr>
      </w:pPr>
      <w:r w:rsidRPr="002B6B92">
        <w:rPr>
          <w:rFonts w:ascii="Arial" w:eastAsia="MS Mincho" w:hAnsi="Arial" w:cs="Arial"/>
          <w:b/>
          <w:bCs/>
          <w:sz w:val="24"/>
          <w:szCs w:val="20"/>
          <w:lang w:val="pt-BR"/>
        </w:rPr>
        <w:t>Agenda item:</w:t>
      </w:r>
      <w:r w:rsidRPr="002B6B92">
        <w:rPr>
          <w:rFonts w:ascii="Arial" w:eastAsia="MS Mincho" w:hAnsi="Arial" w:cs="Arial"/>
          <w:b/>
          <w:bCs/>
          <w:sz w:val="24"/>
          <w:szCs w:val="20"/>
          <w:lang w:val="pt-BR"/>
        </w:rPr>
        <w:tab/>
      </w:r>
      <w:r w:rsidR="00ED01C8">
        <w:rPr>
          <w:rFonts w:ascii="Arial" w:eastAsia="MS Mincho" w:hAnsi="Arial" w:cs="Arial"/>
          <w:b/>
          <w:bCs/>
          <w:sz w:val="24"/>
          <w:szCs w:val="20"/>
          <w:lang w:val="pt-BR"/>
        </w:rPr>
        <w:t>7.</w:t>
      </w:r>
      <w:r w:rsidR="00680547">
        <w:rPr>
          <w:rFonts w:ascii="Arial" w:eastAsia="MS Mincho" w:hAnsi="Arial" w:cs="Arial"/>
          <w:b/>
          <w:bCs/>
          <w:sz w:val="24"/>
          <w:szCs w:val="20"/>
          <w:lang w:val="pt-BR"/>
        </w:rPr>
        <w:t>27</w:t>
      </w:r>
      <w:r w:rsidR="00ED01C8">
        <w:rPr>
          <w:rFonts w:ascii="Arial" w:eastAsia="MS Mincho" w:hAnsi="Arial" w:cs="Arial"/>
          <w:b/>
          <w:bCs/>
          <w:sz w:val="24"/>
          <w:szCs w:val="20"/>
          <w:lang w:val="pt-BR"/>
        </w:rPr>
        <w:t>.5.2</w:t>
      </w:r>
    </w:p>
    <w:p w14:paraId="65088DFE" w14:textId="77777777" w:rsidR="00E323E9" w:rsidRPr="002B6B92" w:rsidRDefault="00841BCD" w:rsidP="00841BCD">
      <w:pPr>
        <w:tabs>
          <w:tab w:val="left" w:pos="1985"/>
        </w:tabs>
        <w:rPr>
          <w:rFonts w:ascii="Arial" w:eastAsia="Calibri" w:hAnsi="Arial" w:cs="Arial"/>
          <w:b/>
          <w:bCs/>
          <w:sz w:val="24"/>
          <w:lang w:val="pt-BR"/>
        </w:rPr>
      </w:pPr>
      <w:proofErr w:type="spellStart"/>
      <w:r w:rsidRPr="002B6B92">
        <w:rPr>
          <w:rFonts w:ascii="Arial" w:eastAsia="Calibri" w:hAnsi="Arial" w:cs="Arial"/>
          <w:b/>
          <w:bCs/>
          <w:sz w:val="24"/>
          <w:lang w:val="pt-BR"/>
        </w:rPr>
        <w:t>Document</w:t>
      </w:r>
      <w:proofErr w:type="spellEnd"/>
      <w:r w:rsidRPr="002B6B92">
        <w:rPr>
          <w:rFonts w:ascii="Arial" w:eastAsia="Calibri" w:hAnsi="Arial" w:cs="Arial"/>
          <w:b/>
          <w:bCs/>
          <w:sz w:val="24"/>
          <w:lang w:val="pt-BR"/>
        </w:rPr>
        <w:t xml:space="preserve"> for:</w:t>
      </w:r>
      <w:r w:rsidRPr="002B6B92">
        <w:rPr>
          <w:rFonts w:ascii="Arial" w:eastAsia="Calibri" w:hAnsi="Arial" w:cs="Arial"/>
          <w:b/>
          <w:bCs/>
          <w:sz w:val="24"/>
          <w:lang w:val="pt-BR"/>
        </w:rPr>
        <w:tab/>
      </w:r>
      <w:proofErr w:type="spellStart"/>
      <w:r w:rsidR="00AE6D09" w:rsidRPr="002B6B92">
        <w:rPr>
          <w:rFonts w:ascii="Arial" w:eastAsia="Calibri" w:hAnsi="Arial" w:cs="Arial"/>
          <w:b/>
          <w:bCs/>
          <w:sz w:val="24"/>
          <w:lang w:val="pt-BR"/>
        </w:rPr>
        <w:t>Discussion</w:t>
      </w:r>
      <w:proofErr w:type="spellEnd"/>
    </w:p>
    <w:p w14:paraId="143C382C"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7772F922" w14:textId="498FF448" w:rsidR="007A5589" w:rsidRDefault="007A5589" w:rsidP="007A5589">
      <w:r>
        <w:t xml:space="preserve">In [1], RAN plenary has approved a new WI for NTN, which will progress the effort of specification for NTN systems in 3GPP technologies in Rel-19 (NR_NTN_PH3). The WID contain a handful of objectives and among them, there is one topic on Downlink Coverage Enhancements. One of the main features discussed to be implemented as part of this feature is an extended SSB periodicity for the main (SA) cell in NTN, to match the periodic “active” and “inactive” periods of the cell. The switching between “active” and “inactive” is created in NTN to handle the limited power availability in the satellite. </w:t>
      </w:r>
    </w:p>
    <w:p w14:paraId="10CC859D" w14:textId="750F72D3" w:rsidR="007A5589" w:rsidRDefault="007A5589" w:rsidP="007A5589">
      <w:r>
        <w:t>The discussions of this WI in RAN4 were initiated in the meeting RAN4 #112. Discussions ensued in the following meetings, including RAN4#</w:t>
      </w:r>
      <w:r w:rsidR="00866028">
        <w:t>115</w:t>
      </w:r>
      <w:r>
        <w:t xml:space="preserve"> and as the outcome of the discussion a way-forward (WF) document was approved which contains a set of agreements and other way-forward (for further discussion) guidance for currently identified open issues [3]. </w:t>
      </w:r>
    </w:p>
    <w:p w14:paraId="64585B5E" w14:textId="6292C801" w:rsidR="0060543D" w:rsidRPr="007A5589" w:rsidRDefault="007A5589" w:rsidP="005C23A4">
      <w:pPr>
        <w:rPr>
          <w:lang w:val="en-US"/>
        </w:rPr>
      </w:pPr>
      <w:r>
        <w:t>In this document we provide our views related to current open issues on “Downlink Coverage Enhancements”.</w:t>
      </w:r>
    </w:p>
    <w:p w14:paraId="2CB62175" w14:textId="77777777" w:rsidR="00B66B7D" w:rsidRPr="008F786B" w:rsidRDefault="003B659E" w:rsidP="00B66B7D">
      <w:pPr>
        <w:pStyle w:val="RAN4H1"/>
      </w:pPr>
      <w:bookmarkStart w:id="4" w:name="_Toc116995842"/>
      <w:r w:rsidRPr="008F786B">
        <w:t>Discussion</w:t>
      </w:r>
      <w:bookmarkEnd w:id="4"/>
    </w:p>
    <w:p w14:paraId="3E070D86" w14:textId="75BA495E" w:rsidR="001C1636" w:rsidRDefault="001C1636" w:rsidP="001C1636">
      <w:pPr>
        <w:pStyle w:val="RAN4H2"/>
      </w:pPr>
      <w:r>
        <w:t>Increased number of configured SMTCs</w:t>
      </w:r>
    </w:p>
    <w:p w14:paraId="65C019CC" w14:textId="3B18B5E6" w:rsidR="00895AFB" w:rsidRDefault="00895AFB" w:rsidP="00B66B7D">
      <w:r>
        <w:t xml:space="preserve">In the previous meeting, RAN4 has discussed whether to support more than 4 SMTC windows configured, as RAN2 has sent indication to RAN4 that there was consideration to increase the total number of supported SMTCs from 4 to 6. </w:t>
      </w:r>
    </w:p>
    <w:p w14:paraId="1F6D209C" w14:textId="20F8DBCF" w:rsidR="00CE3037" w:rsidRDefault="00895AFB" w:rsidP="00B66B7D">
      <w:pPr>
        <w:rPr>
          <w:lang w:val="en-US"/>
        </w:rPr>
      </w:pPr>
      <w:r>
        <w:t xml:space="preserve">The discussion has progressed in </w:t>
      </w:r>
      <w:proofErr w:type="gramStart"/>
      <w:r>
        <w:t>RAN2</w:t>
      </w:r>
      <w:proofErr w:type="gramEnd"/>
      <w:r>
        <w:t xml:space="preserve"> and the following agreements were made</w:t>
      </w:r>
      <w:r w:rsidRPr="00895AFB">
        <w:rPr>
          <w:lang w:val="en-US"/>
        </w:rPr>
        <w:t>:</w:t>
      </w:r>
    </w:p>
    <w:tbl>
      <w:tblPr>
        <w:tblStyle w:val="TableGrid"/>
        <w:tblW w:w="0" w:type="auto"/>
        <w:tblLook w:val="04A0" w:firstRow="1" w:lastRow="0" w:firstColumn="1" w:lastColumn="0" w:noHBand="0" w:noVBand="1"/>
      </w:tblPr>
      <w:tblGrid>
        <w:gridCol w:w="9617"/>
      </w:tblGrid>
      <w:tr w:rsidR="00895AFB" w14:paraId="244C67CA" w14:textId="77777777">
        <w:tc>
          <w:tcPr>
            <w:tcW w:w="9617" w:type="dxa"/>
          </w:tcPr>
          <w:p w14:paraId="5CF86272" w14:textId="77777777" w:rsidR="00895AFB" w:rsidRPr="00895AFB" w:rsidRDefault="00895AFB" w:rsidP="00895AFB">
            <w:r w:rsidRPr="00895AFB">
              <w:t>Agreements: </w:t>
            </w:r>
          </w:p>
          <w:p w14:paraId="3FE5988A" w14:textId="77777777" w:rsidR="00895AFB" w:rsidRPr="00895AFB" w:rsidRDefault="00895AFB" w:rsidP="00895AFB">
            <w:pPr>
              <w:rPr>
                <w:lang w:val="en-US"/>
              </w:rPr>
            </w:pPr>
            <w:r w:rsidRPr="00895AFB">
              <w:rPr>
                <w:lang w:val="en-US"/>
              </w:rPr>
              <w:t xml:space="preserve">1.    the maximum configured SMTCs per frequency for idle/inactive UEs is 6 (can come back if we find </w:t>
            </w:r>
            <w:proofErr w:type="gramStart"/>
            <w:r w:rsidRPr="00895AFB">
              <w:rPr>
                <w:lang w:val="en-US"/>
              </w:rPr>
              <w:t>and</w:t>
            </w:r>
            <w:proofErr w:type="gramEnd"/>
            <w:r w:rsidRPr="00895AFB">
              <w:rPr>
                <w:lang w:val="en-US"/>
              </w:rPr>
              <w:t xml:space="preserve"> issue) </w:t>
            </w:r>
          </w:p>
          <w:p w14:paraId="6619B9E7" w14:textId="77777777" w:rsidR="00895AFB" w:rsidRPr="00895AFB" w:rsidRDefault="00895AFB" w:rsidP="00895AFB">
            <w:pPr>
              <w:rPr>
                <w:lang w:val="en-US"/>
              </w:rPr>
            </w:pPr>
            <w:r w:rsidRPr="00895AFB">
              <w:rPr>
                <w:lang w:val="en-US"/>
              </w:rPr>
              <w:t xml:space="preserve">2.    To support SMTC enhancements for DL CE UE, introduce a new SMTC list instead of extending legacy smtc4list (can consider </w:t>
            </w:r>
            <w:proofErr w:type="spellStart"/>
            <w:r w:rsidRPr="00895AFB">
              <w:rPr>
                <w:lang w:val="en-US"/>
              </w:rPr>
              <w:t>signalling</w:t>
            </w:r>
            <w:proofErr w:type="spellEnd"/>
            <w:r w:rsidRPr="00895AFB">
              <w:rPr>
                <w:lang w:val="en-US"/>
              </w:rPr>
              <w:t xml:space="preserve"> optimizations for the new list to refer to the content of smtc4list to avoid </w:t>
            </w:r>
            <w:proofErr w:type="spellStart"/>
            <w:r w:rsidRPr="00895AFB">
              <w:rPr>
                <w:lang w:val="en-US"/>
              </w:rPr>
              <w:t>signalling</w:t>
            </w:r>
            <w:proofErr w:type="spellEnd"/>
            <w:r w:rsidRPr="00895AFB">
              <w:rPr>
                <w:lang w:val="en-US"/>
              </w:rPr>
              <w:t xml:space="preserve"> duplications) </w:t>
            </w:r>
          </w:p>
          <w:p w14:paraId="03FDAF9C" w14:textId="77777777" w:rsidR="00895AFB" w:rsidRPr="00895AFB" w:rsidRDefault="00895AFB" w:rsidP="00895AFB">
            <w:r w:rsidRPr="00895AFB">
              <w:t xml:space="preserve">3.    We introduce a location-based SMTC selection procedure where each SMTC can be associated with a reference location of the intended </w:t>
            </w:r>
            <w:proofErr w:type="spellStart"/>
            <w:r w:rsidRPr="00895AFB">
              <w:t>neighbor</w:t>
            </w:r>
            <w:proofErr w:type="spellEnd"/>
            <w:r w:rsidRPr="00895AFB">
              <w:t xml:space="preserve"> cells that need to be measured by the UE. FFS if also an SSB-index based SMTC selection is supported </w:t>
            </w:r>
          </w:p>
          <w:p w14:paraId="36469B3C" w14:textId="77777777" w:rsidR="00895AFB" w:rsidRPr="00895AFB" w:rsidRDefault="00895AFB" w:rsidP="00895AFB">
            <w:r w:rsidRPr="00895AFB">
              <w:t>4.    No enhancement for cell selection/reselection for DL CE is pursued (can re-discuss this if we will finally introduce a new barring scheme) </w:t>
            </w:r>
          </w:p>
          <w:p w14:paraId="4DBE230A" w14:textId="77777777" w:rsidR="00895AFB" w:rsidRPr="00895AFB" w:rsidRDefault="00895AFB" w:rsidP="00895AFB">
            <w:r w:rsidRPr="00895AFB">
              <w:t>Working Assumption: </w:t>
            </w:r>
          </w:p>
          <w:p w14:paraId="12531319" w14:textId="77777777" w:rsidR="00895AFB" w:rsidRPr="00895AFB" w:rsidRDefault="00895AFB" w:rsidP="00895AFB">
            <w:r w:rsidRPr="00895AFB">
              <w:t>1.    We introduce a mechanism to assist the NW to configure the SMTCs in connected mode, according to one of the following 2 options: </w:t>
            </w:r>
          </w:p>
          <w:p w14:paraId="18105F1B" w14:textId="77777777" w:rsidR="00895AFB" w:rsidRPr="00895AFB" w:rsidRDefault="00895AFB" w:rsidP="00895AFB">
            <w:r w:rsidRPr="00895AFB">
              <w:t>    Alt 1: UE provide the closest N reference locations/</w:t>
            </w:r>
            <w:proofErr w:type="spellStart"/>
            <w:r w:rsidRPr="00895AFB">
              <w:t>neighbor</w:t>
            </w:r>
            <w:proofErr w:type="spellEnd"/>
            <w:r w:rsidRPr="00895AFB">
              <w:t xml:space="preserve"> cells to network. </w:t>
            </w:r>
          </w:p>
          <w:p w14:paraId="471D4B0D" w14:textId="77777777" w:rsidR="00895AFB" w:rsidRPr="00895AFB" w:rsidRDefault="00895AFB" w:rsidP="00895AFB">
            <w:r w:rsidRPr="00895AFB">
              <w:t>    Alt 2: UE reports the selected SMTCs from configured SMTC set to network. </w:t>
            </w:r>
          </w:p>
          <w:p w14:paraId="49D50D0F" w14:textId="77777777" w:rsidR="00895AFB" w:rsidRPr="00895AFB" w:rsidRDefault="00895AFB" w:rsidP="00895AFB">
            <w:r w:rsidRPr="00895AFB">
              <w:t>    We continue in the next meeting on whether to confirm the WA (and go for either Alt1 or Alt2) or whether we don’t introduce any enhancement (i.e. not confirm the WA) </w:t>
            </w:r>
          </w:p>
          <w:p w14:paraId="0D62E267" w14:textId="77777777" w:rsidR="00895AFB" w:rsidRPr="00895AFB" w:rsidRDefault="00895AFB" w:rsidP="00895AFB">
            <w:r w:rsidRPr="00895AFB">
              <w:rPr>
                <w:i/>
                <w:iCs/>
              </w:rPr>
              <w:t> </w:t>
            </w:r>
            <w:r w:rsidRPr="00895AFB">
              <w:t> </w:t>
            </w:r>
          </w:p>
          <w:p w14:paraId="217F1B70" w14:textId="77777777" w:rsidR="00895AFB" w:rsidRDefault="00895AFB" w:rsidP="00B66B7D">
            <w:pPr>
              <w:rPr>
                <w:lang w:val="en-US"/>
              </w:rPr>
            </w:pPr>
          </w:p>
        </w:tc>
      </w:tr>
    </w:tbl>
    <w:p w14:paraId="13F08EE3" w14:textId="77777777" w:rsidR="00895AFB" w:rsidRDefault="00895AFB" w:rsidP="00B66B7D">
      <w:pPr>
        <w:rPr>
          <w:lang w:val="en-US"/>
        </w:rPr>
      </w:pPr>
    </w:p>
    <w:p w14:paraId="7E50D121" w14:textId="2CFADE87" w:rsidR="00CE3037" w:rsidRDefault="00CE3037" w:rsidP="00B66B7D">
      <w:pPr>
        <w:rPr>
          <w:lang w:val="en-US"/>
        </w:rPr>
      </w:pPr>
      <w:r>
        <w:rPr>
          <w:lang w:val="en-US"/>
        </w:rPr>
        <w:lastRenderedPageBreak/>
        <w:t xml:space="preserve">It seems from the agreements above that RAN2 has agreed to increase the maximum number of SMTCs from 4 to 6. However, this time, there will be prioritization across the different configured SMTCs. </w:t>
      </w:r>
    </w:p>
    <w:p w14:paraId="07C444E2" w14:textId="0B727A29" w:rsidR="00CE3037" w:rsidRDefault="00CE3037" w:rsidP="00CE3037">
      <w:pPr>
        <w:pStyle w:val="RAN4observation0"/>
        <w:rPr>
          <w:lang w:val="en-US"/>
        </w:rPr>
      </w:pPr>
      <w:bookmarkStart w:id="5" w:name="_Toc206170431"/>
      <w:r>
        <w:rPr>
          <w:lang w:val="en-US"/>
        </w:rPr>
        <w:t>RAN2 has location</w:t>
      </w:r>
      <w:r w:rsidRPr="00CE3037">
        <w:rPr>
          <w:lang w:val="en-US"/>
        </w:rPr>
        <w:t>-based p</w:t>
      </w:r>
      <w:r>
        <w:rPr>
          <w:lang w:val="en-US"/>
        </w:rPr>
        <w:t>rioritization across the different SMTCs.</w:t>
      </w:r>
      <w:bookmarkEnd w:id="5"/>
      <w:r>
        <w:rPr>
          <w:lang w:val="en-US"/>
        </w:rPr>
        <w:t xml:space="preserve"> </w:t>
      </w:r>
    </w:p>
    <w:p w14:paraId="4757B3E6" w14:textId="6D795256" w:rsidR="00CE3037" w:rsidRDefault="00CE3037" w:rsidP="00CE3037">
      <w:pPr>
        <w:rPr>
          <w:lang w:val="en-US"/>
        </w:rPr>
      </w:pPr>
      <w:r>
        <w:rPr>
          <w:lang w:val="en-US"/>
        </w:rPr>
        <w:t>Currently, the Rel-18 version of the specification establishes that:</w:t>
      </w:r>
    </w:p>
    <w:tbl>
      <w:tblPr>
        <w:tblStyle w:val="TableGrid"/>
        <w:tblW w:w="0" w:type="auto"/>
        <w:tblLook w:val="04A0" w:firstRow="1" w:lastRow="0" w:firstColumn="1" w:lastColumn="0" w:noHBand="0" w:noVBand="1"/>
      </w:tblPr>
      <w:tblGrid>
        <w:gridCol w:w="9617"/>
      </w:tblGrid>
      <w:tr w:rsidR="00CE3037" w14:paraId="53EA0E9E" w14:textId="77777777">
        <w:tc>
          <w:tcPr>
            <w:tcW w:w="9617" w:type="dxa"/>
          </w:tcPr>
          <w:p w14:paraId="35B7C75B" w14:textId="6667ADF8" w:rsidR="00CE3037" w:rsidRDefault="00CE3037">
            <w:pPr>
              <w:rPr>
                <w:lang w:val="en-US"/>
              </w:rPr>
            </w:pPr>
            <w:r>
              <w:rPr>
                <w:noProof/>
              </w:rPr>
              <w:drawing>
                <wp:inline distT="0" distB="0" distL="0" distR="0" wp14:anchorId="328A00F9" wp14:editId="7354304A">
                  <wp:extent cx="6122035" cy="709930"/>
                  <wp:effectExtent l="0" t="0" r="0" b="0"/>
                  <wp:docPr id="19319059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905979" name=""/>
                          <pic:cNvPicPr/>
                        </pic:nvPicPr>
                        <pic:blipFill>
                          <a:blip r:embed="rId8"/>
                          <a:stretch>
                            <a:fillRect/>
                          </a:stretch>
                        </pic:blipFill>
                        <pic:spPr>
                          <a:xfrm>
                            <a:off x="0" y="0"/>
                            <a:ext cx="6122035" cy="709930"/>
                          </a:xfrm>
                          <a:prstGeom prst="rect">
                            <a:avLst/>
                          </a:prstGeom>
                        </pic:spPr>
                      </pic:pic>
                    </a:graphicData>
                  </a:graphic>
                </wp:inline>
              </w:drawing>
            </w:r>
          </w:p>
          <w:p w14:paraId="0A9D69A1" w14:textId="3D476088" w:rsidR="00CE3037" w:rsidRDefault="00CE3037">
            <w:pPr>
              <w:rPr>
                <w:lang w:val="en-US"/>
              </w:rPr>
            </w:pPr>
          </w:p>
        </w:tc>
      </w:tr>
    </w:tbl>
    <w:p w14:paraId="31C231C4" w14:textId="77777777" w:rsidR="00CE3037" w:rsidRDefault="00CE3037" w:rsidP="00CE3037">
      <w:pPr>
        <w:rPr>
          <w:lang w:val="en-US"/>
        </w:rPr>
      </w:pPr>
    </w:p>
    <w:p w14:paraId="0334C92C" w14:textId="77BFBD70" w:rsidR="00CE3037" w:rsidRDefault="00CE3037" w:rsidP="00CE3037">
      <w:pPr>
        <w:rPr>
          <w:lang w:val="en-US"/>
        </w:rPr>
      </w:pPr>
      <w:r>
        <w:rPr>
          <w:lang w:val="en-US"/>
        </w:rPr>
        <w:t xml:space="preserve">Therefore, by introducing if the Rel-19 supports the new list, it shall support the prioritization of the SMTCs, RAN2 has decided to enhance the mobility procedures and make it less dependent on the UE capability. </w:t>
      </w:r>
      <w:proofErr w:type="gramStart"/>
      <w:r>
        <w:rPr>
          <w:lang w:val="en-US"/>
        </w:rPr>
        <w:t>In order to</w:t>
      </w:r>
      <w:proofErr w:type="gramEnd"/>
      <w:r>
        <w:rPr>
          <w:lang w:val="en-US"/>
        </w:rPr>
        <w:t xml:space="preserve"> maintain the harmony across the specification groups and reach </w:t>
      </w:r>
      <w:r w:rsidR="001C1636">
        <w:rPr>
          <w:lang w:val="en-US"/>
        </w:rPr>
        <w:t>RAN2 intended design of the feature, it is necessary that RAN4 also captures the location-based “</w:t>
      </w:r>
      <w:proofErr w:type="spellStart"/>
      <w:r w:rsidR="001C1636">
        <w:rPr>
          <w:lang w:val="en-US"/>
        </w:rPr>
        <w:t>downselection</w:t>
      </w:r>
      <w:proofErr w:type="spellEnd"/>
      <w:r w:rsidR="001C1636">
        <w:rPr>
          <w:lang w:val="en-US"/>
        </w:rPr>
        <w:t xml:space="preserve">” of SMTCs. </w:t>
      </w:r>
    </w:p>
    <w:p w14:paraId="321E3BCF" w14:textId="4CE93D1B" w:rsidR="001C1636" w:rsidRDefault="001C1636" w:rsidP="001C1636">
      <w:pPr>
        <w:pStyle w:val="RAN4proposal"/>
        <w:rPr>
          <w:lang w:val="en-US"/>
        </w:rPr>
      </w:pPr>
      <w:bookmarkStart w:id="6" w:name="_Toc206170432"/>
      <w:r>
        <w:rPr>
          <w:lang w:val="en-US"/>
        </w:rPr>
        <w:t xml:space="preserve">For UEs that support prioritization across the different SMTCs, RAN4 will introduce enhanced requirements, that captures the </w:t>
      </w:r>
      <w:proofErr w:type="spellStart"/>
      <w:r>
        <w:rPr>
          <w:lang w:val="en-US"/>
        </w:rPr>
        <w:t>downselection</w:t>
      </w:r>
      <w:proofErr w:type="spellEnd"/>
      <w:r>
        <w:rPr>
          <w:lang w:val="en-US"/>
        </w:rPr>
        <w:t xml:space="preserve"> of SMTCs.</w:t>
      </w:r>
      <w:bookmarkEnd w:id="6"/>
    </w:p>
    <w:p w14:paraId="7C66B479" w14:textId="3D4E5D14" w:rsidR="001C1636" w:rsidRPr="0014557E" w:rsidRDefault="001C1636" w:rsidP="0014557E">
      <w:pPr>
        <w:pStyle w:val="RAN4proposal"/>
        <w:rPr>
          <w:lang w:val="en-US"/>
        </w:rPr>
      </w:pPr>
      <w:r>
        <w:rPr>
          <w:lang w:val="en-US"/>
        </w:rPr>
        <w:t xml:space="preserve"> </w:t>
      </w:r>
      <w:bookmarkStart w:id="7" w:name="_Toc206170433"/>
      <w:r>
        <w:rPr>
          <w:lang w:val="en-US"/>
        </w:rPr>
        <w:t xml:space="preserve">For UEs that support less SMTCs than the configured number of SMTCs, but support </w:t>
      </w:r>
      <w:proofErr w:type="spellStart"/>
      <w:r>
        <w:rPr>
          <w:lang w:val="en-US"/>
        </w:rPr>
        <w:t>dowprioritization</w:t>
      </w:r>
      <w:proofErr w:type="spellEnd"/>
      <w:r>
        <w:rPr>
          <w:lang w:val="en-US"/>
        </w:rPr>
        <w:t xml:space="preserve"> of SMTCs based on location-based selection, the requirements are based on the final number of selected SMTCs.</w:t>
      </w:r>
      <w:bookmarkEnd w:id="7"/>
      <w:r>
        <w:rPr>
          <w:lang w:val="en-US"/>
        </w:rPr>
        <w:t xml:space="preserve"> </w:t>
      </w:r>
    </w:p>
    <w:p w14:paraId="39B6F66E" w14:textId="0DD578FA" w:rsidR="001C1636" w:rsidRDefault="001C1636" w:rsidP="001C1636">
      <w:pPr>
        <w:pStyle w:val="RAN4H2"/>
        <w:rPr>
          <w:lang w:val="en-US"/>
        </w:rPr>
      </w:pPr>
      <w:r>
        <w:rPr>
          <w:lang w:val="en-US"/>
        </w:rPr>
        <w:t>Limiting the configuration possibilities for earth-moving cell</w:t>
      </w:r>
    </w:p>
    <w:p w14:paraId="6C14370A" w14:textId="77777777" w:rsidR="001C1636" w:rsidRPr="001C1636" w:rsidRDefault="001C1636" w:rsidP="001C1636">
      <w:pPr>
        <w:rPr>
          <w:lang w:val="en-US"/>
        </w:rPr>
      </w:pPr>
    </w:p>
    <w:p w14:paraId="16625122" w14:textId="55F07970" w:rsidR="001C1636" w:rsidRDefault="001C1636" w:rsidP="001C1636">
      <w:pPr>
        <w:rPr>
          <w:lang w:val="en-US"/>
        </w:rPr>
      </w:pPr>
      <w:r>
        <w:rPr>
          <w:lang w:val="en-US"/>
        </w:rPr>
        <w:t xml:space="preserve">In the previous meeting, RAN4 </w:t>
      </w:r>
      <w:proofErr w:type="gramStart"/>
      <w:r>
        <w:rPr>
          <w:lang w:val="en-US"/>
        </w:rPr>
        <w:t>has discussed</w:t>
      </w:r>
      <w:proofErr w:type="gramEnd"/>
      <w:r>
        <w:rPr>
          <w:lang w:val="en-US"/>
        </w:rPr>
        <w:t xml:space="preserve"> whether to introduce a limitation to earth-moving configuration to no more than 4 SMTCs. This topic was left for further discussion. </w:t>
      </w:r>
    </w:p>
    <w:p w14:paraId="29C413A8" w14:textId="7BA0A035" w:rsidR="0014557E" w:rsidRDefault="001C1636" w:rsidP="001C1636">
      <w:pPr>
        <w:rPr>
          <w:lang w:val="en-US"/>
        </w:rPr>
      </w:pPr>
      <w:proofErr w:type="gramStart"/>
      <w:r>
        <w:rPr>
          <w:lang w:val="en-US"/>
        </w:rPr>
        <w:t>First of all</w:t>
      </w:r>
      <w:proofErr w:type="gramEnd"/>
      <w:r>
        <w:rPr>
          <w:lang w:val="en-US"/>
        </w:rPr>
        <w:t xml:space="preserve">, it is important to remember that from the UE perspective, there is no differentiation whether the NTN cell is Earth moving or Quasi-Earth-fixed. This information is not explicitly conveyed to the UE and </w:t>
      </w:r>
      <w:proofErr w:type="gramStart"/>
      <w:r>
        <w:rPr>
          <w:lang w:val="en-US"/>
        </w:rPr>
        <w:t>a</w:t>
      </w:r>
      <w:proofErr w:type="gramEnd"/>
      <w:r>
        <w:rPr>
          <w:lang w:val="en-US"/>
        </w:rPr>
        <w:t xml:space="preserve"> NTN UE shall equally support both scenarios. Therefore, there is no simplification of UE implementation by </w:t>
      </w:r>
      <w:r w:rsidR="0014557E">
        <w:rPr>
          <w:lang w:val="en-US"/>
        </w:rPr>
        <w:t xml:space="preserve">allowing the UE </w:t>
      </w:r>
      <w:proofErr w:type="gramStart"/>
      <w:r w:rsidR="0014557E">
        <w:rPr>
          <w:lang w:val="en-US"/>
        </w:rPr>
        <w:t>support</w:t>
      </w:r>
      <w:proofErr w:type="gramEnd"/>
      <w:r w:rsidR="0014557E">
        <w:rPr>
          <w:lang w:val="en-US"/>
        </w:rPr>
        <w:t xml:space="preserve"> less SMTCs in one scenario (earth-moving) as the UE will equally need to support the scenario where more SMTCs might be configured (quasi-earth-fixed). </w:t>
      </w:r>
    </w:p>
    <w:p w14:paraId="142AEDC6" w14:textId="2AC37D82" w:rsidR="0014557E" w:rsidRDefault="0014557E" w:rsidP="001C1636">
      <w:pPr>
        <w:rPr>
          <w:lang w:val="en-US"/>
        </w:rPr>
      </w:pPr>
      <w:r>
        <w:rPr>
          <w:lang w:val="en-US"/>
        </w:rPr>
        <w:t xml:space="preserve">From the network perspective, in </w:t>
      </w:r>
      <w:proofErr w:type="gramStart"/>
      <w:r>
        <w:rPr>
          <w:lang w:val="en-US"/>
        </w:rPr>
        <w:t>the majority of</w:t>
      </w:r>
      <w:proofErr w:type="gramEnd"/>
      <w:r>
        <w:rPr>
          <w:lang w:val="en-US"/>
        </w:rPr>
        <w:t xml:space="preserve"> cases, it seems there will not be any advantages to implement and configure more than 4 SMTCs in an earth-moving scenario. If that is the case, in practice, there won’t be many cases where more than 4 SMTCs are configured in Earth-moving scenarios, </w:t>
      </w:r>
      <w:proofErr w:type="gramStart"/>
      <w:r>
        <w:rPr>
          <w:lang w:val="en-US"/>
        </w:rPr>
        <w:t>in</w:t>
      </w:r>
      <w:proofErr w:type="gramEnd"/>
      <w:r>
        <w:rPr>
          <w:lang w:val="en-US"/>
        </w:rPr>
        <w:t xml:space="preserve"> a practical point of view. However, this is ultimately a network decision, and there might be special circumstances where </w:t>
      </w:r>
      <w:proofErr w:type="gramStart"/>
      <w:r>
        <w:rPr>
          <w:lang w:val="en-US"/>
        </w:rPr>
        <w:t>a NW</w:t>
      </w:r>
      <w:proofErr w:type="gramEnd"/>
      <w:r>
        <w:rPr>
          <w:lang w:val="en-US"/>
        </w:rPr>
        <w:t xml:space="preserve"> might see some advantage in configuring </w:t>
      </w:r>
      <w:proofErr w:type="gramStart"/>
      <w:r>
        <w:rPr>
          <w:lang w:val="en-US"/>
        </w:rPr>
        <w:t>a large number of</w:t>
      </w:r>
      <w:proofErr w:type="gramEnd"/>
      <w:r>
        <w:rPr>
          <w:lang w:val="en-US"/>
        </w:rPr>
        <w:t xml:space="preserve"> neighbors. </w:t>
      </w:r>
    </w:p>
    <w:p w14:paraId="6A3E3A59" w14:textId="67F17C07" w:rsidR="0014557E" w:rsidRDefault="0014557E" w:rsidP="001C1636">
      <w:pPr>
        <w:rPr>
          <w:lang w:val="en-US"/>
        </w:rPr>
      </w:pPr>
      <w:r>
        <w:rPr>
          <w:lang w:val="en-US"/>
        </w:rPr>
        <w:t xml:space="preserve">Based on the discussion above, we see no benefits to </w:t>
      </w:r>
      <w:proofErr w:type="gramStart"/>
      <w:r>
        <w:rPr>
          <w:lang w:val="en-US"/>
        </w:rPr>
        <w:t>introduce</w:t>
      </w:r>
      <w:proofErr w:type="gramEnd"/>
      <w:r>
        <w:rPr>
          <w:lang w:val="en-US"/>
        </w:rPr>
        <w:t xml:space="preserve"> a limitation in the number of SMTCs configured. </w:t>
      </w:r>
    </w:p>
    <w:p w14:paraId="6D1E3579" w14:textId="553545FA" w:rsidR="0014557E" w:rsidRDefault="0014557E" w:rsidP="0014557E">
      <w:pPr>
        <w:pStyle w:val="RAN4proposal"/>
        <w:rPr>
          <w:lang w:val="en-US"/>
        </w:rPr>
      </w:pPr>
      <w:bookmarkStart w:id="8" w:name="_Toc206170434"/>
      <w:r>
        <w:rPr>
          <w:lang w:val="en-US"/>
        </w:rPr>
        <w:t>Do not limit the number of SMTCs allowed to be configured in earth-moving scenarios.</w:t>
      </w:r>
      <w:bookmarkEnd w:id="8"/>
      <w:r>
        <w:rPr>
          <w:lang w:val="en-US"/>
        </w:rPr>
        <w:t xml:space="preserve"> </w:t>
      </w:r>
    </w:p>
    <w:p w14:paraId="262D814F" w14:textId="4CA37459" w:rsidR="0014557E" w:rsidRDefault="0014557E" w:rsidP="0014557E">
      <w:r>
        <w:t xml:space="preserve">However, RAN2 has indicated that in DL-CE scenarios, there will be an increased need for more SMTCs to deal with the different cell periodicities and “intermittent” configuration of cells. This indicates that UEs will more often be configured with multiple SMTCs. </w:t>
      </w:r>
      <w:proofErr w:type="gramStart"/>
      <w:r>
        <w:t>In order to</w:t>
      </w:r>
      <w:proofErr w:type="gramEnd"/>
      <w:r>
        <w:t xml:space="preserve"> maintain a good mobility performance, the UE shall be capable of dealing with the typical DL-CE scenarios. </w:t>
      </w:r>
      <w:r w:rsidR="00FF2D73">
        <w:t xml:space="preserve">Based on </w:t>
      </w:r>
      <w:r>
        <w:t>this</w:t>
      </w:r>
      <w:r w:rsidR="00FF2D73">
        <w:t xml:space="preserve">, it becomes even more important that UEs that support the coverage enhancement feature </w:t>
      </w:r>
      <w:r w:rsidR="00A11330">
        <w:t xml:space="preserve">also </w:t>
      </w:r>
      <w:r w:rsidR="00FF2D73">
        <w:t xml:space="preserve">support multiple SMTC configurations. </w:t>
      </w:r>
    </w:p>
    <w:p w14:paraId="10213C9C" w14:textId="2373A27E" w:rsidR="00FF2D73" w:rsidRPr="00FF2D73" w:rsidRDefault="00FF2D73" w:rsidP="0014557E">
      <w:pPr>
        <w:pStyle w:val="RAN4proposal"/>
      </w:pPr>
      <w:bookmarkStart w:id="9" w:name="_Toc206170435"/>
      <w:r w:rsidRPr="00FF2D73">
        <w:t>For UEs supporting DL-CE feature in NR Rel-19, it shall be mandatory the support</w:t>
      </w:r>
      <w:r>
        <w:t xml:space="preserve"> at least</w:t>
      </w:r>
      <w:r w:rsidRPr="00FF2D73">
        <w:t xml:space="preserve"> 4 SMTCs per frequency layer</w:t>
      </w:r>
      <w:bookmarkEnd w:id="9"/>
    </w:p>
    <w:p w14:paraId="0F32B173" w14:textId="77777777" w:rsidR="00CD7492" w:rsidRPr="008F786B" w:rsidRDefault="00CD7492" w:rsidP="00A37002">
      <w:pPr>
        <w:pStyle w:val="RAN4H1"/>
      </w:pPr>
      <w:bookmarkStart w:id="10" w:name="_Toc116995848"/>
      <w:r w:rsidRPr="008F786B">
        <w:lastRenderedPageBreak/>
        <w:t>Conclusion</w:t>
      </w:r>
      <w:bookmarkEnd w:id="10"/>
    </w:p>
    <w:p w14:paraId="26CE49BE" w14:textId="7F5B15DC" w:rsidR="00381F95" w:rsidRPr="002B6B92" w:rsidRDefault="002B6B92" w:rsidP="00936159">
      <w:r w:rsidRPr="002B6B92">
        <w:t>In this paper we discussed the impact of the new measurement framework proposed by RAN2 and RAN1 to handle the extended SSB periodicity in NTN under the topic of DL coverage enhancements. Based on our discussion and analysis, we made the following list of proposals:</w:t>
      </w:r>
    </w:p>
    <w:p w14:paraId="52EFC401" w14:textId="77777777" w:rsidR="00381F95" w:rsidRPr="002872A9" w:rsidRDefault="00381F95" w:rsidP="00936159">
      <w:pPr>
        <w:rPr>
          <w:highlight w:val="yellow"/>
        </w:rPr>
      </w:pPr>
    </w:p>
    <w:p w14:paraId="36B78501" w14:textId="67905EFA" w:rsidR="00680547" w:rsidRDefault="00A4355E">
      <w:pPr>
        <w:pStyle w:val="TOC4"/>
        <w:tabs>
          <w:tab w:val="right" w:leader="dot" w:pos="9617"/>
        </w:tabs>
        <w:rPr>
          <w:rFonts w:asciiTheme="minorHAnsi" w:eastAsiaTheme="minorEastAsia" w:hAnsiTheme="minorHAnsi"/>
          <w:noProof/>
          <w:kern w:val="2"/>
          <w:sz w:val="24"/>
          <w:szCs w:val="24"/>
          <w:lang w:val="en-US" w:eastAsia="zh-CN"/>
          <w14:ligatures w14:val="standardContextual"/>
        </w:rPr>
      </w:pPr>
      <w:r w:rsidRPr="008F786B">
        <w:rPr>
          <w:b/>
          <w:i/>
          <w:iCs/>
          <w:u w:val="single"/>
        </w:rPr>
        <w:fldChar w:fldCharType="begin"/>
      </w:r>
      <w:r w:rsidRPr="008F786B">
        <w:rPr>
          <w:i/>
          <w:iCs/>
          <w:u w:val="single"/>
        </w:rPr>
        <w:instrText xml:space="preserve"> TOC \n \h \z \t "RAN4 proposal,5,RAN4 observation,4" </w:instrText>
      </w:r>
      <w:r w:rsidRPr="008F786B">
        <w:rPr>
          <w:b/>
          <w:i/>
          <w:iCs/>
          <w:u w:val="single"/>
        </w:rPr>
        <w:fldChar w:fldCharType="separate"/>
      </w:r>
      <w:hyperlink w:anchor="_Toc206170431" w:history="1">
        <w:r w:rsidR="00680547" w:rsidRPr="00F66F78">
          <w:rPr>
            <w:rStyle w:val="Hyperlink"/>
            <w:b/>
            <w:noProof/>
            <w:lang w:val="en-US"/>
          </w:rPr>
          <w:t>Observation 1:</w:t>
        </w:r>
        <w:r w:rsidR="00680547" w:rsidRPr="00F66F78">
          <w:rPr>
            <w:rStyle w:val="Hyperlink"/>
            <w:noProof/>
            <w:lang w:val="en-US"/>
          </w:rPr>
          <w:t xml:space="preserve"> RAN2 has location-based prioritization across the different SMTCs.</w:t>
        </w:r>
      </w:hyperlink>
    </w:p>
    <w:p w14:paraId="3976516E" w14:textId="7D26B664" w:rsidR="00680547" w:rsidRDefault="00680547">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70432" w:history="1">
        <w:r w:rsidRPr="00F66F78">
          <w:rPr>
            <w:rStyle w:val="Hyperlink"/>
            <w:noProof/>
            <w:lang w:val="en-US"/>
          </w:rPr>
          <w:t>Proposal 1: For UEs that support prioritization across the different SMTCs, RAN4 will introduce enhanced requirements, that captures the downselection of SMTCs.</w:t>
        </w:r>
      </w:hyperlink>
    </w:p>
    <w:p w14:paraId="0B1EA92E" w14:textId="3A5D48D9" w:rsidR="00680547" w:rsidRDefault="00680547">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70433" w:history="1">
        <w:r w:rsidRPr="00F66F78">
          <w:rPr>
            <w:rStyle w:val="Hyperlink"/>
            <w:noProof/>
            <w:lang w:val="en-US"/>
          </w:rPr>
          <w:t>Proposal 2: For UEs that support less SMTCs than the configured number of SMTCs, but support dowprioritization of SMTCs based on location-based selection, the requirements are based on the final number of selected SMTCs.</w:t>
        </w:r>
      </w:hyperlink>
    </w:p>
    <w:p w14:paraId="324CF060" w14:textId="1EEFF230" w:rsidR="00680547" w:rsidRDefault="00680547">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70434" w:history="1">
        <w:r w:rsidRPr="00F66F78">
          <w:rPr>
            <w:rStyle w:val="Hyperlink"/>
            <w:noProof/>
            <w:lang w:val="en-US"/>
          </w:rPr>
          <w:t>Proposal 3: Do not limit the number of SMTCs allowed to be configured in earth-moving scenarios.</w:t>
        </w:r>
      </w:hyperlink>
    </w:p>
    <w:p w14:paraId="4CAE6239" w14:textId="63311A1A" w:rsidR="00680547" w:rsidRDefault="00680547">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70435" w:history="1">
        <w:r w:rsidRPr="00F66F78">
          <w:rPr>
            <w:rStyle w:val="Hyperlink"/>
            <w:noProof/>
          </w:rPr>
          <w:t>Proposal 4: For UEs supporting DL-CE feature in NR Rel-19, it shall be mandatory the support at least 4 SMTCs per frequency layer</w:t>
        </w:r>
      </w:hyperlink>
    </w:p>
    <w:p w14:paraId="7DF8C3E5" w14:textId="58FB0C42" w:rsidR="00847264" w:rsidRPr="008F786B" w:rsidRDefault="00A4355E" w:rsidP="008C39F7">
      <w:r w:rsidRPr="008F786B">
        <w:fldChar w:fldCharType="end"/>
      </w:r>
      <w:bookmarkStart w:id="11" w:name="_Toc116995849"/>
    </w:p>
    <w:p w14:paraId="4B8014E9" w14:textId="77777777" w:rsidR="003B659E" w:rsidRPr="008F786B" w:rsidRDefault="003B659E" w:rsidP="0060543D">
      <w:pPr>
        <w:pStyle w:val="RAN4H1"/>
        <w:numPr>
          <w:ilvl w:val="0"/>
          <w:numId w:val="0"/>
        </w:numPr>
        <w:ind w:left="360" w:hanging="360"/>
      </w:pPr>
      <w:r w:rsidRPr="008F786B">
        <w:t>References</w:t>
      </w:r>
      <w:bookmarkEnd w:id="11"/>
    </w:p>
    <w:p w14:paraId="30C24A1A" w14:textId="77777777" w:rsidR="007A5589" w:rsidRDefault="007A5589" w:rsidP="007A5589">
      <w:pPr>
        <w:pStyle w:val="ListParagraph"/>
        <w:numPr>
          <w:ilvl w:val="0"/>
          <w:numId w:val="21"/>
        </w:numPr>
        <w:ind w:right="-22"/>
        <w:rPr>
          <w:lang w:val="en-US"/>
        </w:rPr>
      </w:pPr>
      <w:bookmarkStart w:id="12" w:name="_Ref114500673"/>
      <w:bookmarkStart w:id="13" w:name="_Ref178945353"/>
      <w:bookmarkEnd w:id="12"/>
      <w:r w:rsidRPr="00E42B45">
        <w:rPr>
          <w:lang w:val="en-US"/>
        </w:rPr>
        <w:t>RP-234078, New WID: Non-Terrestrial Networks (NTN) for NR Phase 3, Huawei</w:t>
      </w:r>
      <w:bookmarkEnd w:id="13"/>
    </w:p>
    <w:p w14:paraId="28A18DE1" w14:textId="77777777" w:rsidR="007A5589" w:rsidRDefault="007A5589" w:rsidP="007A5589">
      <w:pPr>
        <w:pStyle w:val="ListParagraph"/>
        <w:numPr>
          <w:ilvl w:val="0"/>
          <w:numId w:val="21"/>
        </w:numPr>
        <w:ind w:right="-22"/>
        <w:rPr>
          <w:lang w:val="en-US"/>
        </w:rPr>
      </w:pPr>
      <w:bookmarkStart w:id="14" w:name="_Ref178945346"/>
      <w:r w:rsidRPr="00E42B45">
        <w:rPr>
          <w:lang w:val="en-US"/>
        </w:rPr>
        <w:t>RP-241789</w:t>
      </w:r>
      <w:r>
        <w:rPr>
          <w:lang w:val="en-US"/>
        </w:rPr>
        <w:t xml:space="preserve"> </w:t>
      </w:r>
      <w:r w:rsidRPr="00E42B45">
        <w:rPr>
          <w:lang w:val="en-US"/>
        </w:rPr>
        <w:t>Revised WID: Non-Terrestrial Networks (NTN) for NR Phase 3, Thales, CATT</w:t>
      </w:r>
      <w:bookmarkEnd w:id="14"/>
    </w:p>
    <w:p w14:paraId="58CCC0B0" w14:textId="603916BC" w:rsidR="007A5589" w:rsidRPr="00A63DFB" w:rsidRDefault="00866028" w:rsidP="007A5589">
      <w:pPr>
        <w:pStyle w:val="ListParagraph"/>
        <w:numPr>
          <w:ilvl w:val="0"/>
          <w:numId w:val="21"/>
        </w:numPr>
        <w:ind w:right="-22"/>
        <w:rPr>
          <w:bCs/>
          <w:lang w:val="en-US"/>
        </w:rPr>
      </w:pPr>
      <w:bookmarkStart w:id="15" w:name="_Ref178945761"/>
      <w:bookmarkStart w:id="16" w:name="_Ref197437312"/>
      <w:r w:rsidRPr="00866028">
        <w:rPr>
          <w:lang w:val="en-US"/>
        </w:rPr>
        <w:t>R4-2508288</w:t>
      </w:r>
      <w:r w:rsidR="007A5589" w:rsidRPr="00570158">
        <w:t xml:space="preserve">, </w:t>
      </w:r>
      <w:r w:rsidR="007A5589" w:rsidRPr="00570158">
        <w:rPr>
          <w:i/>
          <w:iCs/>
        </w:rPr>
        <w:t>"</w:t>
      </w:r>
      <w:r w:rsidR="007A5589" w:rsidRPr="00155255">
        <w:rPr>
          <w:rFonts w:ascii="Arial" w:eastAsia="MS Mincho" w:hAnsi="Arial" w:cs="Arial"/>
          <w:bCs/>
          <w:sz w:val="22"/>
          <w:szCs w:val="20"/>
        </w:rPr>
        <w:t xml:space="preserve"> </w:t>
      </w:r>
      <w:r w:rsidR="007A5589" w:rsidRPr="00155255">
        <w:rPr>
          <w:bCs/>
          <w:i/>
          <w:iCs/>
        </w:rPr>
        <w:t>WF on RRM requirements for NR_NTN_Ph3_Part2</w:t>
      </w:r>
      <w:r w:rsidR="007A5589" w:rsidRPr="00155255">
        <w:rPr>
          <w:i/>
          <w:iCs/>
        </w:rPr>
        <w:t>"</w:t>
      </w:r>
      <w:r w:rsidR="007A5589" w:rsidRPr="00570158">
        <w:t xml:space="preserve">, </w:t>
      </w:r>
      <w:r w:rsidR="007A5589" w:rsidRPr="00155255">
        <w:t>Moderator (Qualcomm Incorporated)</w:t>
      </w:r>
      <w:r w:rsidR="007A5589">
        <w:t xml:space="preserve">, </w:t>
      </w:r>
      <w:r w:rsidR="007A5589" w:rsidRPr="00570158">
        <w:t>RAN4 #</w:t>
      </w:r>
      <w:r w:rsidR="007A5589" w:rsidRPr="007A5589">
        <w:rPr>
          <w:rFonts w:cs="Arial"/>
          <w:noProof/>
          <w:sz w:val="24"/>
          <w:szCs w:val="24"/>
          <w:lang w:val="en-US" w:eastAsia="zh-CN"/>
        </w:rPr>
        <w:t xml:space="preserve"> </w:t>
      </w:r>
      <w:r w:rsidR="007A5589" w:rsidRPr="007A5589">
        <w:rPr>
          <w:lang w:val="en-US"/>
        </w:rPr>
        <w:t>11</w:t>
      </w:r>
      <w:r>
        <w:rPr>
          <w:lang w:val="en-US"/>
        </w:rPr>
        <w:t>5</w:t>
      </w:r>
      <w:r w:rsidR="007A5589" w:rsidRPr="00155255">
        <w:t xml:space="preserve"> </w:t>
      </w:r>
      <w:bookmarkEnd w:id="15"/>
      <w:bookmarkEnd w:id="16"/>
      <w:r w:rsidRPr="00866028">
        <w:t xml:space="preserve">Malta, MT, 19th – 23rd </w:t>
      </w:r>
      <w:proofErr w:type="gramStart"/>
      <w:r w:rsidRPr="00866028">
        <w:t>May,</w:t>
      </w:r>
      <w:proofErr w:type="gramEnd"/>
      <w:r w:rsidRPr="00866028">
        <w:t xml:space="preserve"> 2025</w:t>
      </w:r>
    </w:p>
    <w:p w14:paraId="58212979" w14:textId="7C96146C" w:rsidR="00E82B94" w:rsidRPr="008F786B" w:rsidRDefault="007A5589" w:rsidP="00D62E12">
      <w:pPr>
        <w:pStyle w:val="ListParagraph"/>
        <w:numPr>
          <w:ilvl w:val="0"/>
          <w:numId w:val="21"/>
        </w:numPr>
        <w:ind w:right="-22"/>
      </w:pPr>
      <w:bookmarkStart w:id="17" w:name="_Ref197437842"/>
      <w:r w:rsidRPr="007A5589">
        <w:t>R2-2503068</w:t>
      </w:r>
      <w:r>
        <w:t xml:space="preserve">, </w:t>
      </w:r>
      <w:r w:rsidRPr="007A5589">
        <w:t>LS on SMTC enhancements</w:t>
      </w:r>
      <w:r>
        <w:t xml:space="preserve">, </w:t>
      </w:r>
      <w:r w:rsidRPr="007A5589">
        <w:t>RAN WG2 Meeting #129bis</w:t>
      </w:r>
      <w:r>
        <w:t xml:space="preserve">, </w:t>
      </w:r>
      <w:r w:rsidRPr="007A5589">
        <w:t xml:space="preserve">Wuhan, China, 7 - 11 </w:t>
      </w:r>
      <w:proofErr w:type="gramStart"/>
      <w:r w:rsidRPr="007A5589">
        <w:t>Apr,</w:t>
      </w:r>
      <w:proofErr w:type="gramEnd"/>
      <w:r w:rsidRPr="007A5589">
        <w:t xml:space="preserve"> 2025</w:t>
      </w:r>
      <w:bookmarkEnd w:id="17"/>
    </w:p>
    <w:p w14:paraId="0EB70073" w14:textId="77777777" w:rsidR="00E43BF9" w:rsidRDefault="00E43BF9" w:rsidP="00E43BF9">
      <w:pPr>
        <w:ind w:right="-22"/>
      </w:pPr>
    </w:p>
    <w:p w14:paraId="3F0D00D0" w14:textId="77777777" w:rsidR="009E3C7C" w:rsidRDefault="009E3C7C" w:rsidP="00E43BF9">
      <w:pPr>
        <w:ind w:right="-22"/>
      </w:pPr>
    </w:p>
    <w:p w14:paraId="1CDC344A" w14:textId="77777777" w:rsidR="009E3C7C" w:rsidRDefault="009E3C7C" w:rsidP="00E43BF9">
      <w:pPr>
        <w:ind w:right="-22"/>
      </w:pPr>
    </w:p>
    <w:p w14:paraId="06B55B0A" w14:textId="77777777" w:rsidR="009E3C7C" w:rsidRPr="008F786B" w:rsidRDefault="009E3C7C" w:rsidP="00E43BF9">
      <w:pPr>
        <w:ind w:right="-22"/>
      </w:pPr>
    </w:p>
    <w:sectPr w:rsidR="009E3C7C"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B96CA" w14:textId="77777777" w:rsidR="00C80ADD" w:rsidRDefault="00C80ADD" w:rsidP="00001C9B">
      <w:pPr>
        <w:spacing w:after="0" w:line="240" w:lineRule="auto"/>
      </w:pPr>
      <w:r>
        <w:separator/>
      </w:r>
    </w:p>
  </w:endnote>
  <w:endnote w:type="continuationSeparator" w:id="0">
    <w:p w14:paraId="1EBAA163" w14:textId="77777777" w:rsidR="00C80ADD" w:rsidRDefault="00C80ADD" w:rsidP="00001C9B">
      <w:pPr>
        <w:spacing w:after="0" w:line="240" w:lineRule="auto"/>
      </w:pPr>
      <w:r>
        <w:continuationSeparator/>
      </w:r>
    </w:p>
  </w:endnote>
  <w:endnote w:type="continuationNotice" w:id="1">
    <w:p w14:paraId="17A83760" w14:textId="77777777" w:rsidR="00C80ADD" w:rsidRDefault="00C80A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1C726" w14:textId="77777777" w:rsidR="00C80ADD" w:rsidRDefault="00C80ADD" w:rsidP="00001C9B">
      <w:pPr>
        <w:spacing w:after="0" w:line="240" w:lineRule="auto"/>
      </w:pPr>
      <w:r>
        <w:separator/>
      </w:r>
    </w:p>
  </w:footnote>
  <w:footnote w:type="continuationSeparator" w:id="0">
    <w:p w14:paraId="17783733" w14:textId="77777777" w:rsidR="00C80ADD" w:rsidRDefault="00C80ADD" w:rsidP="00001C9B">
      <w:pPr>
        <w:spacing w:after="0" w:line="240" w:lineRule="auto"/>
      </w:pPr>
      <w:r>
        <w:continuationSeparator/>
      </w:r>
    </w:p>
  </w:footnote>
  <w:footnote w:type="continuationNotice" w:id="1">
    <w:p w14:paraId="2F81A7E3" w14:textId="77777777" w:rsidR="00C80ADD" w:rsidRDefault="00C80A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A46595"/>
    <w:multiLevelType w:val="hybridMultilevel"/>
    <w:tmpl w:val="A8069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B77B56"/>
    <w:multiLevelType w:val="hybridMultilevel"/>
    <w:tmpl w:val="C8060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A4F36C4"/>
    <w:multiLevelType w:val="hybridMultilevel"/>
    <w:tmpl w:val="9C248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1"/>
  </w:num>
  <w:num w:numId="4" w16cid:durableId="517735681">
    <w:abstractNumId w:val="5"/>
  </w:num>
  <w:num w:numId="5" w16cid:durableId="1142041724">
    <w:abstractNumId w:val="16"/>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8"/>
  </w:num>
  <w:num w:numId="16" w16cid:durableId="516113510">
    <w:abstractNumId w:val="4"/>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2"/>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19"/>
  </w:num>
  <w:num w:numId="28" w16cid:durableId="2095668156">
    <w:abstractNumId w:val="3"/>
  </w:num>
  <w:num w:numId="29" w16cid:durableId="700278259">
    <w:abstractNumId w:val="17"/>
  </w:num>
  <w:num w:numId="30" w16cid:durableId="2133164022">
    <w:abstractNumId w:val="13"/>
  </w:num>
  <w:num w:numId="31" w16cid:durableId="386153439">
    <w:abstractNumId w:val="15"/>
  </w:num>
  <w:num w:numId="32" w16cid:durableId="16838990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836F6"/>
    <w:rsid w:val="00001C9B"/>
    <w:rsid w:val="000040DC"/>
    <w:rsid w:val="00011784"/>
    <w:rsid w:val="000151EF"/>
    <w:rsid w:val="000239F5"/>
    <w:rsid w:val="00037101"/>
    <w:rsid w:val="00061256"/>
    <w:rsid w:val="00072CCA"/>
    <w:rsid w:val="0007601C"/>
    <w:rsid w:val="00081544"/>
    <w:rsid w:val="00085017"/>
    <w:rsid w:val="0008612A"/>
    <w:rsid w:val="00090E18"/>
    <w:rsid w:val="000A10BC"/>
    <w:rsid w:val="000A2ED5"/>
    <w:rsid w:val="000A7F53"/>
    <w:rsid w:val="000B0056"/>
    <w:rsid w:val="000C3C7B"/>
    <w:rsid w:val="000D0F93"/>
    <w:rsid w:val="001058AB"/>
    <w:rsid w:val="00106416"/>
    <w:rsid w:val="00110481"/>
    <w:rsid w:val="001113FD"/>
    <w:rsid w:val="001127C9"/>
    <w:rsid w:val="00114498"/>
    <w:rsid w:val="00115B88"/>
    <w:rsid w:val="00132F6A"/>
    <w:rsid w:val="00133913"/>
    <w:rsid w:val="00140221"/>
    <w:rsid w:val="00142A31"/>
    <w:rsid w:val="0014557E"/>
    <w:rsid w:val="00161913"/>
    <w:rsid w:val="001642FC"/>
    <w:rsid w:val="0016496B"/>
    <w:rsid w:val="001743E2"/>
    <w:rsid w:val="001745F8"/>
    <w:rsid w:val="00182687"/>
    <w:rsid w:val="001838CF"/>
    <w:rsid w:val="001868EE"/>
    <w:rsid w:val="00194AEC"/>
    <w:rsid w:val="001A3BA4"/>
    <w:rsid w:val="001A6D1F"/>
    <w:rsid w:val="001B1EA8"/>
    <w:rsid w:val="001C1636"/>
    <w:rsid w:val="001D6EB2"/>
    <w:rsid w:val="001E30F6"/>
    <w:rsid w:val="00216379"/>
    <w:rsid w:val="00217EE5"/>
    <w:rsid w:val="00225D10"/>
    <w:rsid w:val="0023559D"/>
    <w:rsid w:val="00235F5C"/>
    <w:rsid w:val="0024235F"/>
    <w:rsid w:val="002433E2"/>
    <w:rsid w:val="00257FA3"/>
    <w:rsid w:val="00277B56"/>
    <w:rsid w:val="00282A74"/>
    <w:rsid w:val="00283CEA"/>
    <w:rsid w:val="002849D4"/>
    <w:rsid w:val="002872A9"/>
    <w:rsid w:val="00290244"/>
    <w:rsid w:val="002909DC"/>
    <w:rsid w:val="00295E70"/>
    <w:rsid w:val="002969B6"/>
    <w:rsid w:val="002A19F5"/>
    <w:rsid w:val="002B4922"/>
    <w:rsid w:val="002B69F3"/>
    <w:rsid w:val="002B6B92"/>
    <w:rsid w:val="002C019B"/>
    <w:rsid w:val="002C22C3"/>
    <w:rsid w:val="002C2D19"/>
    <w:rsid w:val="002D10FA"/>
    <w:rsid w:val="002D4C55"/>
    <w:rsid w:val="002E6DED"/>
    <w:rsid w:val="00300956"/>
    <w:rsid w:val="00307EE8"/>
    <w:rsid w:val="00317187"/>
    <w:rsid w:val="0032499A"/>
    <w:rsid w:val="0033366B"/>
    <w:rsid w:val="003341F7"/>
    <w:rsid w:val="00347FEC"/>
    <w:rsid w:val="003509DF"/>
    <w:rsid w:val="00356F45"/>
    <w:rsid w:val="00366B74"/>
    <w:rsid w:val="003774C0"/>
    <w:rsid w:val="00381F95"/>
    <w:rsid w:val="003A710A"/>
    <w:rsid w:val="003B4307"/>
    <w:rsid w:val="003B659E"/>
    <w:rsid w:val="003B6F92"/>
    <w:rsid w:val="003C275E"/>
    <w:rsid w:val="003C4FDE"/>
    <w:rsid w:val="003E58DF"/>
    <w:rsid w:val="003E70EE"/>
    <w:rsid w:val="003F7007"/>
    <w:rsid w:val="00404C4C"/>
    <w:rsid w:val="0041423F"/>
    <w:rsid w:val="00414F81"/>
    <w:rsid w:val="00426B9A"/>
    <w:rsid w:val="00436A0F"/>
    <w:rsid w:val="00437150"/>
    <w:rsid w:val="0043750A"/>
    <w:rsid w:val="00447577"/>
    <w:rsid w:val="004732E9"/>
    <w:rsid w:val="004854BB"/>
    <w:rsid w:val="00494493"/>
    <w:rsid w:val="00496606"/>
    <w:rsid w:val="004A3881"/>
    <w:rsid w:val="004D6E6A"/>
    <w:rsid w:val="004E5E66"/>
    <w:rsid w:val="004E7ADB"/>
    <w:rsid w:val="00503B4D"/>
    <w:rsid w:val="00504EE9"/>
    <w:rsid w:val="00514E4F"/>
    <w:rsid w:val="00521576"/>
    <w:rsid w:val="005250E6"/>
    <w:rsid w:val="00532F86"/>
    <w:rsid w:val="00542D23"/>
    <w:rsid w:val="0054442C"/>
    <w:rsid w:val="005457D3"/>
    <w:rsid w:val="00545E53"/>
    <w:rsid w:val="00550285"/>
    <w:rsid w:val="00550BF3"/>
    <w:rsid w:val="00562492"/>
    <w:rsid w:val="005624E0"/>
    <w:rsid w:val="00572A20"/>
    <w:rsid w:val="00581618"/>
    <w:rsid w:val="005836F6"/>
    <w:rsid w:val="005836F8"/>
    <w:rsid w:val="005918FA"/>
    <w:rsid w:val="00592A86"/>
    <w:rsid w:val="005B3029"/>
    <w:rsid w:val="005B4801"/>
    <w:rsid w:val="005B699A"/>
    <w:rsid w:val="005C23A4"/>
    <w:rsid w:val="005C68EE"/>
    <w:rsid w:val="005C7EFA"/>
    <w:rsid w:val="005D1CDF"/>
    <w:rsid w:val="005D2BB7"/>
    <w:rsid w:val="005D6FFE"/>
    <w:rsid w:val="005E61A8"/>
    <w:rsid w:val="005F6419"/>
    <w:rsid w:val="0060301D"/>
    <w:rsid w:val="0060543D"/>
    <w:rsid w:val="006104DD"/>
    <w:rsid w:val="006130B5"/>
    <w:rsid w:val="00614DD8"/>
    <w:rsid w:val="00617400"/>
    <w:rsid w:val="00632D29"/>
    <w:rsid w:val="0064171D"/>
    <w:rsid w:val="00664950"/>
    <w:rsid w:val="00680547"/>
    <w:rsid w:val="00683220"/>
    <w:rsid w:val="0068781B"/>
    <w:rsid w:val="00687FA0"/>
    <w:rsid w:val="006A3C11"/>
    <w:rsid w:val="006B7010"/>
    <w:rsid w:val="006C3095"/>
    <w:rsid w:val="006D36CA"/>
    <w:rsid w:val="006D38DC"/>
    <w:rsid w:val="006E1151"/>
    <w:rsid w:val="006E4F45"/>
    <w:rsid w:val="006E6311"/>
    <w:rsid w:val="00701D91"/>
    <w:rsid w:val="00710D71"/>
    <w:rsid w:val="007145FF"/>
    <w:rsid w:val="00715B2A"/>
    <w:rsid w:val="00733B21"/>
    <w:rsid w:val="007376A9"/>
    <w:rsid w:val="007450F1"/>
    <w:rsid w:val="00751515"/>
    <w:rsid w:val="007626B7"/>
    <w:rsid w:val="00772284"/>
    <w:rsid w:val="0078212B"/>
    <w:rsid w:val="00784DF6"/>
    <w:rsid w:val="00785232"/>
    <w:rsid w:val="007A2588"/>
    <w:rsid w:val="007A5589"/>
    <w:rsid w:val="007B186C"/>
    <w:rsid w:val="007C1696"/>
    <w:rsid w:val="007C3ED0"/>
    <w:rsid w:val="007C48C4"/>
    <w:rsid w:val="007C5971"/>
    <w:rsid w:val="007E42DC"/>
    <w:rsid w:val="007E4668"/>
    <w:rsid w:val="007F54B9"/>
    <w:rsid w:val="007F6898"/>
    <w:rsid w:val="00806A76"/>
    <w:rsid w:val="00811C9D"/>
    <w:rsid w:val="00816C80"/>
    <w:rsid w:val="0081797B"/>
    <w:rsid w:val="0082796A"/>
    <w:rsid w:val="0083707A"/>
    <w:rsid w:val="00841BCD"/>
    <w:rsid w:val="00847264"/>
    <w:rsid w:val="00851A8E"/>
    <w:rsid w:val="0085365B"/>
    <w:rsid w:val="00866028"/>
    <w:rsid w:val="008668DA"/>
    <w:rsid w:val="008826C1"/>
    <w:rsid w:val="00883DFD"/>
    <w:rsid w:val="00885A38"/>
    <w:rsid w:val="0089210C"/>
    <w:rsid w:val="00893D2E"/>
    <w:rsid w:val="0089556D"/>
    <w:rsid w:val="00895AFB"/>
    <w:rsid w:val="008A1BF7"/>
    <w:rsid w:val="008A5B0E"/>
    <w:rsid w:val="008B0961"/>
    <w:rsid w:val="008B4C15"/>
    <w:rsid w:val="008C39F7"/>
    <w:rsid w:val="008E37D6"/>
    <w:rsid w:val="008F786B"/>
    <w:rsid w:val="0090091A"/>
    <w:rsid w:val="0090373B"/>
    <w:rsid w:val="009042BD"/>
    <w:rsid w:val="00904FE4"/>
    <w:rsid w:val="009056ED"/>
    <w:rsid w:val="009062D9"/>
    <w:rsid w:val="009156B4"/>
    <w:rsid w:val="00927740"/>
    <w:rsid w:val="00927B85"/>
    <w:rsid w:val="009314D2"/>
    <w:rsid w:val="0093395F"/>
    <w:rsid w:val="00936159"/>
    <w:rsid w:val="00977E1D"/>
    <w:rsid w:val="009809DB"/>
    <w:rsid w:val="009920F1"/>
    <w:rsid w:val="009A32FE"/>
    <w:rsid w:val="009A4C8E"/>
    <w:rsid w:val="009B0573"/>
    <w:rsid w:val="009B7B4B"/>
    <w:rsid w:val="009B7C21"/>
    <w:rsid w:val="009E3C7C"/>
    <w:rsid w:val="009E4E6E"/>
    <w:rsid w:val="009E5FA9"/>
    <w:rsid w:val="00A04992"/>
    <w:rsid w:val="00A11330"/>
    <w:rsid w:val="00A147AA"/>
    <w:rsid w:val="00A21D71"/>
    <w:rsid w:val="00A22B78"/>
    <w:rsid w:val="00A246F7"/>
    <w:rsid w:val="00A25AE5"/>
    <w:rsid w:val="00A26442"/>
    <w:rsid w:val="00A37002"/>
    <w:rsid w:val="00A4355E"/>
    <w:rsid w:val="00A520D9"/>
    <w:rsid w:val="00A64DA0"/>
    <w:rsid w:val="00A74866"/>
    <w:rsid w:val="00A92BCD"/>
    <w:rsid w:val="00AA1B0E"/>
    <w:rsid w:val="00AA47B6"/>
    <w:rsid w:val="00AB5260"/>
    <w:rsid w:val="00AC06C0"/>
    <w:rsid w:val="00AC163B"/>
    <w:rsid w:val="00AC5CA7"/>
    <w:rsid w:val="00AC6058"/>
    <w:rsid w:val="00AD131F"/>
    <w:rsid w:val="00AE2BA5"/>
    <w:rsid w:val="00AE56B1"/>
    <w:rsid w:val="00AE6D09"/>
    <w:rsid w:val="00AF7A7C"/>
    <w:rsid w:val="00B02070"/>
    <w:rsid w:val="00B258FE"/>
    <w:rsid w:val="00B26A8A"/>
    <w:rsid w:val="00B332D6"/>
    <w:rsid w:val="00B408B6"/>
    <w:rsid w:val="00B41630"/>
    <w:rsid w:val="00B542DA"/>
    <w:rsid w:val="00B62C88"/>
    <w:rsid w:val="00B66B7D"/>
    <w:rsid w:val="00B73862"/>
    <w:rsid w:val="00B73F43"/>
    <w:rsid w:val="00B75BBF"/>
    <w:rsid w:val="00B81CDC"/>
    <w:rsid w:val="00B91A80"/>
    <w:rsid w:val="00BA308C"/>
    <w:rsid w:val="00BA6B66"/>
    <w:rsid w:val="00BA6E48"/>
    <w:rsid w:val="00BD1174"/>
    <w:rsid w:val="00BE0AF6"/>
    <w:rsid w:val="00BE1F03"/>
    <w:rsid w:val="00BE58A7"/>
    <w:rsid w:val="00BF2218"/>
    <w:rsid w:val="00C0426B"/>
    <w:rsid w:val="00C045DF"/>
    <w:rsid w:val="00C23762"/>
    <w:rsid w:val="00C26D43"/>
    <w:rsid w:val="00C35173"/>
    <w:rsid w:val="00C43F4A"/>
    <w:rsid w:val="00C46548"/>
    <w:rsid w:val="00C574D5"/>
    <w:rsid w:val="00C73F32"/>
    <w:rsid w:val="00C80ADD"/>
    <w:rsid w:val="00C851E4"/>
    <w:rsid w:val="00C86B1D"/>
    <w:rsid w:val="00C87462"/>
    <w:rsid w:val="00C9468C"/>
    <w:rsid w:val="00CA180C"/>
    <w:rsid w:val="00CB22B2"/>
    <w:rsid w:val="00CC3EE2"/>
    <w:rsid w:val="00CD6C0E"/>
    <w:rsid w:val="00CD7492"/>
    <w:rsid w:val="00CE3037"/>
    <w:rsid w:val="00CE3A6B"/>
    <w:rsid w:val="00CF4463"/>
    <w:rsid w:val="00D00211"/>
    <w:rsid w:val="00D006D1"/>
    <w:rsid w:val="00D025AE"/>
    <w:rsid w:val="00D03109"/>
    <w:rsid w:val="00D06309"/>
    <w:rsid w:val="00D340A1"/>
    <w:rsid w:val="00D349A5"/>
    <w:rsid w:val="00D351EA"/>
    <w:rsid w:val="00D40288"/>
    <w:rsid w:val="00D43403"/>
    <w:rsid w:val="00D50A6B"/>
    <w:rsid w:val="00D5270B"/>
    <w:rsid w:val="00D62E12"/>
    <w:rsid w:val="00D62E71"/>
    <w:rsid w:val="00D6430D"/>
    <w:rsid w:val="00D66188"/>
    <w:rsid w:val="00D731F6"/>
    <w:rsid w:val="00D740CA"/>
    <w:rsid w:val="00D816F8"/>
    <w:rsid w:val="00D85728"/>
    <w:rsid w:val="00D95481"/>
    <w:rsid w:val="00D96E40"/>
    <w:rsid w:val="00DA5812"/>
    <w:rsid w:val="00DC7A13"/>
    <w:rsid w:val="00DD0865"/>
    <w:rsid w:val="00DE7064"/>
    <w:rsid w:val="00DF2997"/>
    <w:rsid w:val="00E10BC4"/>
    <w:rsid w:val="00E1415D"/>
    <w:rsid w:val="00E213BD"/>
    <w:rsid w:val="00E233D3"/>
    <w:rsid w:val="00E323E9"/>
    <w:rsid w:val="00E32FB6"/>
    <w:rsid w:val="00E34018"/>
    <w:rsid w:val="00E436D4"/>
    <w:rsid w:val="00E437D2"/>
    <w:rsid w:val="00E43BF9"/>
    <w:rsid w:val="00E47BC6"/>
    <w:rsid w:val="00E51930"/>
    <w:rsid w:val="00E54B70"/>
    <w:rsid w:val="00E55751"/>
    <w:rsid w:val="00E55B45"/>
    <w:rsid w:val="00E5652C"/>
    <w:rsid w:val="00E7398E"/>
    <w:rsid w:val="00E80097"/>
    <w:rsid w:val="00E82B94"/>
    <w:rsid w:val="00E87217"/>
    <w:rsid w:val="00EA2311"/>
    <w:rsid w:val="00EC7BC3"/>
    <w:rsid w:val="00ED01C8"/>
    <w:rsid w:val="00ED7600"/>
    <w:rsid w:val="00EF6073"/>
    <w:rsid w:val="00EF698B"/>
    <w:rsid w:val="00F1362C"/>
    <w:rsid w:val="00F414F1"/>
    <w:rsid w:val="00F508B8"/>
    <w:rsid w:val="00F72CB1"/>
    <w:rsid w:val="00F8215E"/>
    <w:rsid w:val="00F824F5"/>
    <w:rsid w:val="00F90FAB"/>
    <w:rsid w:val="00F9374D"/>
    <w:rsid w:val="00FB6924"/>
    <w:rsid w:val="00FC29B9"/>
    <w:rsid w:val="00FC6FD3"/>
    <w:rsid w:val="00FE305C"/>
    <w:rsid w:val="00FF0301"/>
    <w:rsid w:val="00FF2D73"/>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8B8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aliases w:val="H1,h1,NMP Heading 1,app heading 1,l1,Memo Heading 1,h11,h12,h13,h14,h15,h16,h17,h111,h121,h131,h141,h151,h161,h18,h112,h122,h132,h142,h152,h162,h19,h113,h123,h133,h143,h153,h163,1,Section of paper,Heading 1_a"/>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出段落1,¥¡¡¡¡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 Char,列出段落1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037101"/>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14950692">
      <w:bodyDiv w:val="1"/>
      <w:marLeft w:val="0"/>
      <w:marRight w:val="0"/>
      <w:marTop w:val="0"/>
      <w:marBottom w:val="0"/>
      <w:divBdr>
        <w:top w:val="none" w:sz="0" w:space="0" w:color="auto"/>
        <w:left w:val="none" w:sz="0" w:space="0" w:color="auto"/>
        <w:bottom w:val="none" w:sz="0" w:space="0" w:color="auto"/>
        <w:right w:val="none" w:sz="0" w:space="0" w:color="auto"/>
      </w:divBdr>
    </w:div>
    <w:div w:id="155534051">
      <w:bodyDiv w:val="1"/>
      <w:marLeft w:val="0"/>
      <w:marRight w:val="0"/>
      <w:marTop w:val="0"/>
      <w:marBottom w:val="0"/>
      <w:divBdr>
        <w:top w:val="none" w:sz="0" w:space="0" w:color="auto"/>
        <w:left w:val="none" w:sz="0" w:space="0" w:color="auto"/>
        <w:bottom w:val="none" w:sz="0" w:space="0" w:color="auto"/>
        <w:right w:val="none" w:sz="0" w:space="0" w:color="auto"/>
      </w:divBdr>
    </w:div>
    <w:div w:id="270819672">
      <w:bodyDiv w:val="1"/>
      <w:marLeft w:val="0"/>
      <w:marRight w:val="0"/>
      <w:marTop w:val="0"/>
      <w:marBottom w:val="0"/>
      <w:divBdr>
        <w:top w:val="none" w:sz="0" w:space="0" w:color="auto"/>
        <w:left w:val="none" w:sz="0" w:space="0" w:color="auto"/>
        <w:bottom w:val="none" w:sz="0" w:space="0" w:color="auto"/>
        <w:right w:val="none" w:sz="0" w:space="0" w:color="auto"/>
      </w:divBdr>
      <w:divsChild>
        <w:div w:id="3869871">
          <w:marLeft w:val="0"/>
          <w:marRight w:val="0"/>
          <w:marTop w:val="0"/>
          <w:marBottom w:val="0"/>
          <w:divBdr>
            <w:top w:val="none" w:sz="0" w:space="0" w:color="auto"/>
            <w:left w:val="none" w:sz="0" w:space="0" w:color="auto"/>
            <w:bottom w:val="none" w:sz="0" w:space="0" w:color="auto"/>
            <w:right w:val="none" w:sz="0" w:space="0" w:color="auto"/>
          </w:divBdr>
        </w:div>
        <w:div w:id="113062698">
          <w:marLeft w:val="0"/>
          <w:marRight w:val="0"/>
          <w:marTop w:val="0"/>
          <w:marBottom w:val="0"/>
          <w:divBdr>
            <w:top w:val="none" w:sz="0" w:space="0" w:color="auto"/>
            <w:left w:val="none" w:sz="0" w:space="0" w:color="auto"/>
            <w:bottom w:val="none" w:sz="0" w:space="0" w:color="auto"/>
            <w:right w:val="none" w:sz="0" w:space="0" w:color="auto"/>
          </w:divBdr>
        </w:div>
        <w:div w:id="321468970">
          <w:marLeft w:val="0"/>
          <w:marRight w:val="0"/>
          <w:marTop w:val="0"/>
          <w:marBottom w:val="0"/>
          <w:divBdr>
            <w:top w:val="none" w:sz="0" w:space="0" w:color="auto"/>
            <w:left w:val="none" w:sz="0" w:space="0" w:color="auto"/>
            <w:bottom w:val="none" w:sz="0" w:space="0" w:color="auto"/>
            <w:right w:val="none" w:sz="0" w:space="0" w:color="auto"/>
          </w:divBdr>
        </w:div>
        <w:div w:id="656227879">
          <w:marLeft w:val="0"/>
          <w:marRight w:val="0"/>
          <w:marTop w:val="0"/>
          <w:marBottom w:val="0"/>
          <w:divBdr>
            <w:top w:val="none" w:sz="0" w:space="0" w:color="auto"/>
            <w:left w:val="none" w:sz="0" w:space="0" w:color="auto"/>
            <w:bottom w:val="none" w:sz="0" w:space="0" w:color="auto"/>
            <w:right w:val="none" w:sz="0" w:space="0" w:color="auto"/>
          </w:divBdr>
        </w:div>
        <w:div w:id="696008745">
          <w:marLeft w:val="0"/>
          <w:marRight w:val="0"/>
          <w:marTop w:val="0"/>
          <w:marBottom w:val="0"/>
          <w:divBdr>
            <w:top w:val="none" w:sz="0" w:space="0" w:color="auto"/>
            <w:left w:val="none" w:sz="0" w:space="0" w:color="auto"/>
            <w:bottom w:val="none" w:sz="0" w:space="0" w:color="auto"/>
            <w:right w:val="none" w:sz="0" w:space="0" w:color="auto"/>
          </w:divBdr>
        </w:div>
        <w:div w:id="858278418">
          <w:marLeft w:val="0"/>
          <w:marRight w:val="0"/>
          <w:marTop w:val="0"/>
          <w:marBottom w:val="0"/>
          <w:divBdr>
            <w:top w:val="none" w:sz="0" w:space="0" w:color="auto"/>
            <w:left w:val="none" w:sz="0" w:space="0" w:color="auto"/>
            <w:bottom w:val="none" w:sz="0" w:space="0" w:color="auto"/>
            <w:right w:val="none" w:sz="0" w:space="0" w:color="auto"/>
          </w:divBdr>
        </w:div>
        <w:div w:id="933560412">
          <w:marLeft w:val="0"/>
          <w:marRight w:val="0"/>
          <w:marTop w:val="0"/>
          <w:marBottom w:val="0"/>
          <w:divBdr>
            <w:top w:val="none" w:sz="0" w:space="0" w:color="auto"/>
            <w:left w:val="none" w:sz="0" w:space="0" w:color="auto"/>
            <w:bottom w:val="none" w:sz="0" w:space="0" w:color="auto"/>
            <w:right w:val="none" w:sz="0" w:space="0" w:color="auto"/>
          </w:divBdr>
        </w:div>
        <w:div w:id="1648702692">
          <w:marLeft w:val="0"/>
          <w:marRight w:val="0"/>
          <w:marTop w:val="0"/>
          <w:marBottom w:val="0"/>
          <w:divBdr>
            <w:top w:val="none" w:sz="0" w:space="0" w:color="auto"/>
            <w:left w:val="none" w:sz="0" w:space="0" w:color="auto"/>
            <w:bottom w:val="none" w:sz="0" w:space="0" w:color="auto"/>
            <w:right w:val="none" w:sz="0" w:space="0" w:color="auto"/>
          </w:divBdr>
        </w:div>
        <w:div w:id="1907252574">
          <w:marLeft w:val="0"/>
          <w:marRight w:val="0"/>
          <w:marTop w:val="0"/>
          <w:marBottom w:val="0"/>
          <w:divBdr>
            <w:top w:val="none" w:sz="0" w:space="0" w:color="auto"/>
            <w:left w:val="none" w:sz="0" w:space="0" w:color="auto"/>
            <w:bottom w:val="none" w:sz="0" w:space="0" w:color="auto"/>
            <w:right w:val="none" w:sz="0" w:space="0" w:color="auto"/>
          </w:divBdr>
        </w:div>
        <w:div w:id="2083479520">
          <w:marLeft w:val="0"/>
          <w:marRight w:val="0"/>
          <w:marTop w:val="0"/>
          <w:marBottom w:val="0"/>
          <w:divBdr>
            <w:top w:val="none" w:sz="0" w:space="0" w:color="auto"/>
            <w:left w:val="none" w:sz="0" w:space="0" w:color="auto"/>
            <w:bottom w:val="none" w:sz="0" w:space="0" w:color="auto"/>
            <w:right w:val="none" w:sz="0" w:space="0" w:color="auto"/>
          </w:divBdr>
        </w:div>
        <w:div w:id="2109616975">
          <w:marLeft w:val="0"/>
          <w:marRight w:val="0"/>
          <w:marTop w:val="0"/>
          <w:marBottom w:val="0"/>
          <w:divBdr>
            <w:top w:val="none" w:sz="0" w:space="0" w:color="auto"/>
            <w:left w:val="none" w:sz="0" w:space="0" w:color="auto"/>
            <w:bottom w:val="none" w:sz="0" w:space="0" w:color="auto"/>
            <w:right w:val="none" w:sz="0" w:space="0" w:color="auto"/>
          </w:divBdr>
        </w:div>
      </w:divsChild>
    </w:div>
    <w:div w:id="276909022">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414589921">
      <w:bodyDiv w:val="1"/>
      <w:marLeft w:val="0"/>
      <w:marRight w:val="0"/>
      <w:marTop w:val="0"/>
      <w:marBottom w:val="0"/>
      <w:divBdr>
        <w:top w:val="none" w:sz="0" w:space="0" w:color="auto"/>
        <w:left w:val="none" w:sz="0" w:space="0" w:color="auto"/>
        <w:bottom w:val="none" w:sz="0" w:space="0" w:color="auto"/>
        <w:right w:val="none" w:sz="0" w:space="0" w:color="auto"/>
      </w:divBdr>
    </w:div>
    <w:div w:id="518079116">
      <w:bodyDiv w:val="1"/>
      <w:marLeft w:val="0"/>
      <w:marRight w:val="0"/>
      <w:marTop w:val="0"/>
      <w:marBottom w:val="0"/>
      <w:divBdr>
        <w:top w:val="none" w:sz="0" w:space="0" w:color="auto"/>
        <w:left w:val="none" w:sz="0" w:space="0" w:color="auto"/>
        <w:bottom w:val="none" w:sz="0" w:space="0" w:color="auto"/>
        <w:right w:val="none" w:sz="0" w:space="0" w:color="auto"/>
      </w:divBdr>
    </w:div>
    <w:div w:id="953944262">
      <w:bodyDiv w:val="1"/>
      <w:marLeft w:val="0"/>
      <w:marRight w:val="0"/>
      <w:marTop w:val="0"/>
      <w:marBottom w:val="0"/>
      <w:divBdr>
        <w:top w:val="none" w:sz="0" w:space="0" w:color="auto"/>
        <w:left w:val="none" w:sz="0" w:space="0" w:color="auto"/>
        <w:bottom w:val="none" w:sz="0" w:space="0" w:color="auto"/>
        <w:right w:val="none" w:sz="0" w:space="0" w:color="auto"/>
      </w:divBdr>
    </w:div>
    <w:div w:id="1138690892">
      <w:bodyDiv w:val="1"/>
      <w:marLeft w:val="0"/>
      <w:marRight w:val="0"/>
      <w:marTop w:val="0"/>
      <w:marBottom w:val="0"/>
      <w:divBdr>
        <w:top w:val="none" w:sz="0" w:space="0" w:color="auto"/>
        <w:left w:val="none" w:sz="0" w:space="0" w:color="auto"/>
        <w:bottom w:val="none" w:sz="0" w:space="0" w:color="auto"/>
        <w:right w:val="none" w:sz="0" w:space="0" w:color="auto"/>
      </w:divBdr>
    </w:div>
    <w:div w:id="1224028445">
      <w:bodyDiv w:val="1"/>
      <w:marLeft w:val="0"/>
      <w:marRight w:val="0"/>
      <w:marTop w:val="0"/>
      <w:marBottom w:val="0"/>
      <w:divBdr>
        <w:top w:val="none" w:sz="0" w:space="0" w:color="auto"/>
        <w:left w:val="none" w:sz="0" w:space="0" w:color="auto"/>
        <w:bottom w:val="none" w:sz="0" w:space="0" w:color="auto"/>
        <w:right w:val="none" w:sz="0" w:space="0" w:color="auto"/>
      </w:divBdr>
      <w:divsChild>
        <w:div w:id="149489649">
          <w:marLeft w:val="0"/>
          <w:marRight w:val="0"/>
          <w:marTop w:val="0"/>
          <w:marBottom w:val="0"/>
          <w:divBdr>
            <w:top w:val="none" w:sz="0" w:space="0" w:color="auto"/>
            <w:left w:val="none" w:sz="0" w:space="0" w:color="auto"/>
            <w:bottom w:val="none" w:sz="0" w:space="0" w:color="auto"/>
            <w:right w:val="none" w:sz="0" w:space="0" w:color="auto"/>
          </w:divBdr>
        </w:div>
        <w:div w:id="481389908">
          <w:marLeft w:val="0"/>
          <w:marRight w:val="0"/>
          <w:marTop w:val="0"/>
          <w:marBottom w:val="0"/>
          <w:divBdr>
            <w:top w:val="none" w:sz="0" w:space="0" w:color="auto"/>
            <w:left w:val="none" w:sz="0" w:space="0" w:color="auto"/>
            <w:bottom w:val="none" w:sz="0" w:space="0" w:color="auto"/>
            <w:right w:val="none" w:sz="0" w:space="0" w:color="auto"/>
          </w:divBdr>
        </w:div>
        <w:div w:id="916481265">
          <w:marLeft w:val="0"/>
          <w:marRight w:val="0"/>
          <w:marTop w:val="0"/>
          <w:marBottom w:val="0"/>
          <w:divBdr>
            <w:top w:val="none" w:sz="0" w:space="0" w:color="auto"/>
            <w:left w:val="none" w:sz="0" w:space="0" w:color="auto"/>
            <w:bottom w:val="none" w:sz="0" w:space="0" w:color="auto"/>
            <w:right w:val="none" w:sz="0" w:space="0" w:color="auto"/>
          </w:divBdr>
        </w:div>
        <w:div w:id="1045637665">
          <w:marLeft w:val="0"/>
          <w:marRight w:val="0"/>
          <w:marTop w:val="0"/>
          <w:marBottom w:val="0"/>
          <w:divBdr>
            <w:top w:val="none" w:sz="0" w:space="0" w:color="auto"/>
            <w:left w:val="none" w:sz="0" w:space="0" w:color="auto"/>
            <w:bottom w:val="none" w:sz="0" w:space="0" w:color="auto"/>
            <w:right w:val="none" w:sz="0" w:space="0" w:color="auto"/>
          </w:divBdr>
        </w:div>
        <w:div w:id="1121268397">
          <w:marLeft w:val="0"/>
          <w:marRight w:val="0"/>
          <w:marTop w:val="0"/>
          <w:marBottom w:val="0"/>
          <w:divBdr>
            <w:top w:val="none" w:sz="0" w:space="0" w:color="auto"/>
            <w:left w:val="none" w:sz="0" w:space="0" w:color="auto"/>
            <w:bottom w:val="none" w:sz="0" w:space="0" w:color="auto"/>
            <w:right w:val="none" w:sz="0" w:space="0" w:color="auto"/>
          </w:divBdr>
        </w:div>
        <w:div w:id="1192186752">
          <w:marLeft w:val="0"/>
          <w:marRight w:val="0"/>
          <w:marTop w:val="0"/>
          <w:marBottom w:val="0"/>
          <w:divBdr>
            <w:top w:val="none" w:sz="0" w:space="0" w:color="auto"/>
            <w:left w:val="none" w:sz="0" w:space="0" w:color="auto"/>
            <w:bottom w:val="none" w:sz="0" w:space="0" w:color="auto"/>
            <w:right w:val="none" w:sz="0" w:space="0" w:color="auto"/>
          </w:divBdr>
        </w:div>
        <w:div w:id="1282808783">
          <w:marLeft w:val="0"/>
          <w:marRight w:val="0"/>
          <w:marTop w:val="0"/>
          <w:marBottom w:val="0"/>
          <w:divBdr>
            <w:top w:val="none" w:sz="0" w:space="0" w:color="auto"/>
            <w:left w:val="none" w:sz="0" w:space="0" w:color="auto"/>
            <w:bottom w:val="none" w:sz="0" w:space="0" w:color="auto"/>
            <w:right w:val="none" w:sz="0" w:space="0" w:color="auto"/>
          </w:divBdr>
        </w:div>
        <w:div w:id="1484346274">
          <w:marLeft w:val="0"/>
          <w:marRight w:val="0"/>
          <w:marTop w:val="0"/>
          <w:marBottom w:val="0"/>
          <w:divBdr>
            <w:top w:val="none" w:sz="0" w:space="0" w:color="auto"/>
            <w:left w:val="none" w:sz="0" w:space="0" w:color="auto"/>
            <w:bottom w:val="none" w:sz="0" w:space="0" w:color="auto"/>
            <w:right w:val="none" w:sz="0" w:space="0" w:color="auto"/>
          </w:divBdr>
        </w:div>
        <w:div w:id="1918437169">
          <w:marLeft w:val="0"/>
          <w:marRight w:val="0"/>
          <w:marTop w:val="0"/>
          <w:marBottom w:val="0"/>
          <w:divBdr>
            <w:top w:val="none" w:sz="0" w:space="0" w:color="auto"/>
            <w:left w:val="none" w:sz="0" w:space="0" w:color="auto"/>
            <w:bottom w:val="none" w:sz="0" w:space="0" w:color="auto"/>
            <w:right w:val="none" w:sz="0" w:space="0" w:color="auto"/>
          </w:divBdr>
        </w:div>
        <w:div w:id="1991665176">
          <w:marLeft w:val="0"/>
          <w:marRight w:val="0"/>
          <w:marTop w:val="0"/>
          <w:marBottom w:val="0"/>
          <w:divBdr>
            <w:top w:val="none" w:sz="0" w:space="0" w:color="auto"/>
            <w:left w:val="none" w:sz="0" w:space="0" w:color="auto"/>
            <w:bottom w:val="none" w:sz="0" w:space="0" w:color="auto"/>
            <w:right w:val="none" w:sz="0" w:space="0" w:color="auto"/>
          </w:divBdr>
        </w:div>
        <w:div w:id="2145197797">
          <w:marLeft w:val="0"/>
          <w:marRight w:val="0"/>
          <w:marTop w:val="0"/>
          <w:marBottom w:val="0"/>
          <w:divBdr>
            <w:top w:val="none" w:sz="0" w:space="0" w:color="auto"/>
            <w:left w:val="none" w:sz="0" w:space="0" w:color="auto"/>
            <w:bottom w:val="none" w:sz="0" w:space="0" w:color="auto"/>
            <w:right w:val="none" w:sz="0" w:space="0" w:color="auto"/>
          </w:divBdr>
        </w:div>
      </w:divsChild>
    </w:div>
    <w:div w:id="1468936816">
      <w:bodyDiv w:val="1"/>
      <w:marLeft w:val="0"/>
      <w:marRight w:val="0"/>
      <w:marTop w:val="0"/>
      <w:marBottom w:val="0"/>
      <w:divBdr>
        <w:top w:val="none" w:sz="0" w:space="0" w:color="auto"/>
        <w:left w:val="none" w:sz="0" w:space="0" w:color="auto"/>
        <w:bottom w:val="none" w:sz="0" w:space="0" w:color="auto"/>
        <w:right w:val="none" w:sz="0" w:space="0" w:color="auto"/>
      </w:divBdr>
    </w:div>
    <w:div w:id="1759403696">
      <w:bodyDiv w:val="1"/>
      <w:marLeft w:val="0"/>
      <w:marRight w:val="0"/>
      <w:marTop w:val="0"/>
      <w:marBottom w:val="0"/>
      <w:divBdr>
        <w:top w:val="none" w:sz="0" w:space="0" w:color="auto"/>
        <w:left w:val="none" w:sz="0" w:space="0" w:color="auto"/>
        <w:bottom w:val="none" w:sz="0" w:space="0" w:color="auto"/>
        <w:right w:val="none" w:sz="0" w:space="0" w:color="auto"/>
      </w:divBdr>
    </w:div>
    <w:div w:id="1813059084">
      <w:bodyDiv w:val="1"/>
      <w:marLeft w:val="0"/>
      <w:marRight w:val="0"/>
      <w:marTop w:val="0"/>
      <w:marBottom w:val="0"/>
      <w:divBdr>
        <w:top w:val="none" w:sz="0" w:space="0" w:color="auto"/>
        <w:left w:val="none" w:sz="0" w:space="0" w:color="auto"/>
        <w:bottom w:val="none" w:sz="0" w:space="0" w:color="auto"/>
        <w:right w:val="none" w:sz="0" w:space="0" w:color="auto"/>
      </w:divBdr>
    </w:div>
    <w:div w:id="1875582412">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2085299367">
      <w:bodyDiv w:val="1"/>
      <w:marLeft w:val="0"/>
      <w:marRight w:val="0"/>
      <w:marTop w:val="0"/>
      <w:marBottom w:val="0"/>
      <w:divBdr>
        <w:top w:val="none" w:sz="0" w:space="0" w:color="auto"/>
        <w:left w:val="none" w:sz="0" w:space="0" w:color="auto"/>
        <w:bottom w:val="none" w:sz="0" w:space="0" w:color="auto"/>
        <w:right w:val="none" w:sz="0" w:space="0" w:color="auto"/>
      </w:divBdr>
    </w:div>
    <w:div w:id="213309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1152</Words>
  <Characters>6568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7705</CharactersWithSpaces>
  <SharedDoc>false</SharedDoc>
  <HLinks>
    <vt:vector size="30" baseType="variant">
      <vt:variant>
        <vt:i4>1900599</vt:i4>
      </vt:variant>
      <vt:variant>
        <vt:i4>14</vt:i4>
      </vt:variant>
      <vt:variant>
        <vt:i4>0</vt:i4>
      </vt:variant>
      <vt:variant>
        <vt:i4>5</vt:i4>
      </vt:variant>
      <vt:variant>
        <vt:lpwstr/>
      </vt:variant>
      <vt:variant>
        <vt:lpwstr>_Toc206002385</vt:lpwstr>
      </vt:variant>
      <vt:variant>
        <vt:i4>1900599</vt:i4>
      </vt:variant>
      <vt:variant>
        <vt:i4>11</vt:i4>
      </vt:variant>
      <vt:variant>
        <vt:i4>0</vt:i4>
      </vt:variant>
      <vt:variant>
        <vt:i4>5</vt:i4>
      </vt:variant>
      <vt:variant>
        <vt:lpwstr/>
      </vt:variant>
      <vt:variant>
        <vt:lpwstr>_Toc206002384</vt:lpwstr>
      </vt:variant>
      <vt:variant>
        <vt:i4>1900599</vt:i4>
      </vt:variant>
      <vt:variant>
        <vt:i4>8</vt:i4>
      </vt:variant>
      <vt:variant>
        <vt:i4>0</vt:i4>
      </vt:variant>
      <vt:variant>
        <vt:i4>5</vt:i4>
      </vt:variant>
      <vt:variant>
        <vt:lpwstr/>
      </vt:variant>
      <vt:variant>
        <vt:lpwstr>_Toc206002383</vt:lpwstr>
      </vt:variant>
      <vt:variant>
        <vt:i4>1900599</vt:i4>
      </vt:variant>
      <vt:variant>
        <vt:i4>5</vt:i4>
      </vt:variant>
      <vt:variant>
        <vt:i4>0</vt:i4>
      </vt:variant>
      <vt:variant>
        <vt:i4>5</vt:i4>
      </vt:variant>
      <vt:variant>
        <vt:lpwstr/>
      </vt:variant>
      <vt:variant>
        <vt:lpwstr>_Toc206002382</vt:lpwstr>
      </vt:variant>
      <vt:variant>
        <vt:i4>1900599</vt:i4>
      </vt:variant>
      <vt:variant>
        <vt:i4>2</vt:i4>
      </vt:variant>
      <vt:variant>
        <vt:i4>0</vt:i4>
      </vt:variant>
      <vt:variant>
        <vt:i4>5</vt:i4>
      </vt:variant>
      <vt:variant>
        <vt:lpwstr/>
      </vt:variant>
      <vt:variant>
        <vt:lpwstr>_Toc206002381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2025-08-15T15:43:00Z</dcterms:created>
  <dcterms:modified xsi:type="dcterms:W3CDTF">2025-08-15T15:47:00Z</dcterms:modified>
</cp:coreProperties>
</file>